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比色皿尺寸变体装载实验报告</w:t>
      </w:r>
    </w:p>
    <w:p>
      <w:r>
        <w:t>Size_v1  2026年10月22日  固定原A座与standard场景</w:t>
      </w:r>
    </w:p>
    <w:p>
      <w:r>
        <w:t>当前实际独立评分已确认完整装载，成功资产为cuvette_xy_1000, cuvette_xy_1030。本轮只改变器皿XY尺寸，原座、整机、来源架和物理参数保持。物理任务判分、进程退出和正式冻结数据资格分别记录；开发成功不自动增加配额。尺寸是实验假设，不是实物反推或平台精度认证。</w:t>
      </w:r>
    </w:p>
    <w:p>
      <w:pPr>
        <w:pStyle w:val="Heading1"/>
      </w:pPr>
      <w:r>
        <w:t>本轮结果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5443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实际状态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证据范围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尺寸资产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35个已生成并评估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9.50至12.50mm；独立USD与asset_id全部保留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原座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candidate_far_hinge 原A座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保持原始几何和内部结构；未扩大孔口或删除凸起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完整任务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已确认成功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实际释放 撤离 稳定必须同时成立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5次standard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5/5完整成功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独立判分与逐次结果单列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合格成功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 / 20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需冻结场景与正常数据读取资格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合格失败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 / 20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自然失败与动作偏差失败分组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random及训练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本轮未要求random 不新增训练</w:t>
            </w:r>
          </w:p>
        </w:tc>
        <w:tc>
          <w:tcPr>
            <w:tcW w:type="dxa" w:w="54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训练和自动验证默认固定standard</w:t>
            </w:r>
          </w:p>
        </w:tc>
      </w:tr>
    </w:tbl>
    <w:p>
      <w:pPr>
        <w:spacing w:after="0"/>
      </w:pPr>
    </w:p>
    <w:p>
      <w:r>
        <w:t>本报告供项目协作者和后续agent复核：哪些内容真正运行、使用哪个尺寸、剩余配额和问题是什么。几何筛选、物理验证、完整任务成功和数据资格分别记录，未知值保留。</w:t>
      </w:r>
    </w:p>
    <w:p>
      <w:r>
        <w:t>开发分支 codex/lab-cuvette-size-v1。报告生成时HEAD 4ed7c4a33ad5e4e6b264f0cd00720f7ae64c6f7d。实际episode另保存自己的代码和控制版本；不把报告提交误当作运行提交。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96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03_standard01_scene_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正式standard场景 一台原仪器 完整6×6来源架及机械臂</w:t>
      </w:r>
    </w:p>
    <w:p>
      <w:r>
        <w:br w:type="page"/>
      </w:r>
    </w:p>
    <w:p>
      <w:pPr>
        <w:pStyle w:val="Heading1"/>
      </w:pPr>
      <w:r>
        <w:t>资产派生与尺寸依据</w:t>
      </w:r>
    </w:p>
    <w:p>
      <w:r>
        <w:t>从保留的12.5mm控制资产按diag(w/12.5,w/12.5,1)派生。35个候选采用同一变换，包括视觉和28块厚壁碰撞输入；空腔、底部、倒角拓扑和底面原点不变，不制作局部避让。每个参与评估的尺寸均先注册并重载核查。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474"/>
        <w:gridCol w:w="3118"/>
        <w:gridCol w:w="1247"/>
        <w:gridCol w:w="1361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资产ID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名义XY mm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实际USD外XY mm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高度 mm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假设质量 g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cuvette_xy_1250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12.50 × 12.50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12.500005 × 12.500005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67.50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20.0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cuvette_xy_1000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10.00 × 10.00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10.000004 × 10.000004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67.50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20.0</w:t>
            </w:r>
          </w:p>
        </w:tc>
      </w:tr>
    </w:tbl>
    <w:p>
      <w:pPr>
        <w:spacing w:after="0"/>
      </w:pPr>
    </w:p>
    <w:p>
      <w:r>
        <w:t>实际顶点包络中的微小舍入差用于检查文件一致性，不能称为实测尺寸精度。其他架内同型号器皿引用同一选定资产；来源架仍为完整6×6参数化架，16mm槽位和孔距不随器皿缩小。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trol_vs_1000_visual_collision_over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原12.5mm对照与10mm假设资产的实际视觉和28碰撞输入叠加</w:t>
      </w:r>
    </w:p>
    <w:p>
      <w:r>
        <w:t>总质量沿用20g工程假设。均匀材料体积分包含底部和杯壁、排除空腔，重新计算COM和完整惯量；总质量固定，因此数值密度随尺寸改变，不同时假设材料密度固定。没有把重叠凸体体积相加作为质量。</w:t>
      </w:r>
    </w:p>
    <w:p>
      <w:r>
        <w:t>源控制资产SHA256 8d52757227303edd4f38918ee04763481f08846fdd8daa6803295c8fc77c689d。原仪器资产SHA256 b7145d71ca9668630466648a6144c26de9d555ca228259e22ecb3bf4e02a3a4e。全35项内腔截面、COM、惯量、接触配置与哈希在同包CSV及注册清单中。</w:t>
      </w:r>
    </w:p>
    <w:p>
      <w:r>
        <w:br w:type="page"/>
      </w:r>
    </w:p>
    <w:p>
      <w:pPr>
        <w:pStyle w:val="Heading1"/>
      </w:pPr>
      <w:r>
        <w:t>原座通道与可行尺寸范围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1928"/>
        <w:gridCol w:w="1701"/>
        <w:gridCol w:w="3175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宽度 mm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入口全XY域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全深竖直路径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搜索最佳</w:t>
              <w:br/>
              <w:t>证书余量 mm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自然控制完整任务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12.50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未通过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未认证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未知或未执行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11.02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未通过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未认证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未知或未执行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11.00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未认证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未知或未执行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10.72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未认证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未知或未执行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10.70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正证书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0.0003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未知或未执行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10.50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正证书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0.1003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已观察任务失败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10.30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正证书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0.2003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已观察完整成功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正证书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0.3503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已观察完整成功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9.50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正证书</w:t>
            </w:r>
          </w:p>
        </w:tc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0.6197</w:t>
            </w:r>
          </w:p>
        </w:tc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未知或未执行</w:t>
            </w:r>
          </w:p>
        </w:tc>
      </w:tr>
    </w:tbl>
    <w:p>
      <w:pPr>
        <w:spacing w:after="0"/>
      </w:pPr>
    </w:p>
    <w:p>
      <w:r>
        <w:t>余量取几何搜索中的最佳正证书，不是实际跟踪误差。任务列仅汇总natural未扰动控制；受控偏差和未知组另列，全部成败与标签保留在CSV。</w:t>
      </w:r>
    </w:p>
    <w:p>
      <w:r>
        <w:t>10.70mm是最大已采样保守全深正证书，不是物理上限。10.72至11.00mm入口可行而全深未认证，结果未知。11.02mm起的已测试尺寸在四个直立方位入口必要域为空；未研究任意倾斜6DoF路线。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18400" cy="18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ommended_1000_original_A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84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10mm器皿与原A座入口及连续竖直扫掠的全部XY可行域</w:t>
      </w:r>
    </w:p>
    <w:p>
      <w:r>
        <w:t>全部尺寸统一检查四个直立方位与全部有界XY域，保守竖直扫掠保留三角面及垂直壁；未取得正证书只表示未证明。入口截面、算法和承托采样详见同包几何CSV及JSON。</w:t>
      </w:r>
    </w:p>
    <w:p>
      <w:r>
        <w:t>实际运行固定在原A座局部X=+0.650mm、Y=+0.001mm；10.00mm在此偏移的输入几何余量为0.350046mm，与表中搜索最佳值区分。承托高度约2mm、插入深度约27mm；实际释放、撤离和稳定见后页物理记录。</w:t>
      </w:r>
    </w:p>
    <w:p>
      <w:r>
        <w:br w:type="page"/>
      </w:r>
    </w:p>
    <w:p>
      <w:pPr>
        <w:pStyle w:val="Heading1"/>
      </w:pPr>
      <w:r>
        <w:t>实际连续任务与失败记录</w:t>
      </w:r>
    </w:p>
    <w:p>
      <w:r>
        <w:t>控制沿用连续接触锁存：首次双指接触后保持已有闭合命令，避免锁存切换时重新张开。新宽度由实际接触适应，不复制12.5mm的固定指距。示范控制器使用器皿真值位姿；本轮未训练模型。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134"/>
        <w:gridCol w:w="1020"/>
        <w:gridCol w:w="1417"/>
        <w:gridCol w:w="4139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代表episode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宽度 mm</w:t>
            </w:r>
          </w:p>
        </w:tc>
        <w:tc>
          <w:tcPr>
            <w:tcW w:type="dxa" w:w="10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仿真秒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独立结果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终止原因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a8fe2a83-42…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0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105.82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8c352069-f3…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10.30</w:t>
            </w:r>
          </w:p>
        </w:tc>
        <w:tc>
          <w:tcPr>
            <w:tcW w:type="dxa" w:w="10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105.78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022b4499-5a…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10.50</w:t>
            </w:r>
          </w:p>
        </w:tc>
        <w:tc>
          <w:tcPr>
            <w:tcW w:type="dxa" w:w="10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105.78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未通过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88633c2e-2b…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0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62.38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未通过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受控提前停止插入</w:t>
            </w:r>
          </w:p>
        </w:tc>
      </w:tr>
    </w:tbl>
    <w:p>
      <w:pPr>
        <w:spacing w:after="0"/>
      </w:pPr>
    </w:p>
    <w:p>
      <w:r>
        <w:t>主记录 a8fe2a83-42c8-4941-9e40-521a3b8389a0 / episode_0000。只依据独立评分认定成功。上表选取主记录、10.30mm、10.50mm及受控失败；preview与接口诊断仍保留在原CSV。</w:t>
      </w:r>
    </w:p>
    <w:p>
      <w:r>
        <w:t>主记录独立观察：抓取通过；实际取出通过；搬运通过；装载序列通过；实际松爪通过；实际撤离通过；撤离后稳定通过。</w:t>
      </w:r>
    </w:p>
    <w:p>
      <w:r>
        <w:t>主记录终止原因为流程执行结束，失败类型为无。原生速度与位姿差分不一致、原座完整烹饪穿透未读取等实际质量标记保留在JSON；原始英文标签与全部启动记录保留在CSV。</w:t>
      </w:r>
    </w:p>
    <w:p>
      <w:pPr>
        <w:pStyle w:val="Heading1"/>
      </w:pPr>
      <w:r>
        <w:t>十点五毫米开发运行的独立失败</w:t>
      </w:r>
    </w:p>
    <w:p>
      <w:r>
        <w:t>10.50mm开发运行在GRASP阶段14.750秒观察到杯底原点相对手漂移616.042µm，相对姿态变化0.704358度；配置抓取锚点漂移127.227µm。杯底原点距配置抓取锚点53.0mm，旋转杠杆分量为651.543µm。不能将原点漂移解释为等量纯轴向滑移，也不能用较小的锚点值替换原200.0µm判分门槛。控制器在线安全上限为1500.0µm，独立质量门控与在线停止条件分别记录；动作继续不等于评分通过。</w:t>
      </w:r>
    </w:p>
    <w:p>
      <w:r>
        <w:t>第二个独立门控同样未通过：获得承托时的XY误差为102.066至103.333µm，高于原100.0µm门槛；2803个承托样本中，满足装载对准的样本为0。因此不能只忽略早期抓持门控就把该次改判为合格装载。</w:t>
      </w:r>
    </w:p>
    <w:p>
      <w:r>
        <w:t>该次实际松爪通过、撤离通过、末尾稳定通过，完整任务仍为未通过，失败类型GRASP_SLIP。进程实际退出码143单独保留，不把进程状态当作上述物理失败成因。10.50mm开发资产与最终冻结10.00mm场景不同，未获正式配额资格；释放和末态稳定不自动使它成为合格成功或配额失败。</w:t>
      </w:r>
    </w:p>
    <w:p>
      <w:hyperlink r:id="rId12">
        <w:r>
          <w:t>10.50mm开发失败复核</w:t>
        </w:r>
      </w:hyperlink>
    </w:p>
    <w:p>
      <w:r>
        <w:br w:type="page"/>
      </w:r>
    </w:p>
    <w:p>
      <w:pPr>
        <w:pStyle w:val="Heading1"/>
      </w:pPr>
      <w:r>
        <w:t>固定standard重复性与稳定验收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247"/>
        <w:gridCol w:w="964"/>
        <w:gridCol w:w="1361"/>
        <w:gridCol w:w="3005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episode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任务结果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仿真秒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记录有效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终止原因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a8fe2a83-42c… / episode_0000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105.82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12a8d7a3-778… / episode_0001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105.82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9cd6d7e7-465… / episode_0002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105.82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ea8e7ea8-914… / episode_0003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105.82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ffab09c8-1b1… / episode_0004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105.82</w:t>
            </w:r>
          </w:p>
        </w:tc>
        <w:tc>
          <w:tcPr>
            <w:tcW w:type="dxa" w:w="13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流程执行结束</w:t>
            </w:r>
          </w:p>
        </w:tc>
      </w:tr>
    </w:tbl>
    <w:p>
      <w:pPr>
        <w:spacing w:after="0"/>
      </w:pPr>
    </w:p>
    <w:p>
      <w:r>
        <w:t>显式选入5条，完成记录5条，独立成功5条，独立失败0条。结果未知0条。5次验证中满足最终冻结配置和数据资格的成功可以计入20条。</w:t>
      </w:r>
    </w:p>
    <w:p>
      <w:pPr>
        <w:pStyle w:val="Heading1"/>
      </w:pPr>
      <w:r>
        <w:t>释放与撤离的固定判据</w:t>
      </w:r>
    </w:p>
    <w:p>
      <w:r>
        <w:t>接触后停止向下推进，建立底部承托，逐步卸载夹持，对称慢松爪，确认双指脱离，再撤离并观察至少3秒。位置漂移200µm、姿态变化1度及声明的50µm输入材料穿透门槛保持。原生速度与位姿差分都记录；信号不一致保留告警，不将其删除或据阶段直接写成功。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4706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主记录撤离后窗口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实际值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判读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窗口状态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撤离前中止时必须unavailable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稳定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不拿terminal_window代替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测得时长 秒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3.000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要求至少3秒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位置漂移 mm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0.000239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本轮工程门槛0.2mm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姿态变化 度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0.000713</w:t>
            </w:r>
          </w:p>
        </w:tc>
        <w:tc>
          <w:tcPr>
            <w:tcW w:type="dxa" w:w="470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本轮工程门槛1度</w:t>
            </w:r>
          </w:p>
        </w:tc>
      </w:tr>
    </w:tbl>
    <w:p>
      <w:pPr>
        <w:spacing w:after="0"/>
      </w:pPr>
    </w:p>
    <w:p>
      <w:r>
        <w:t>输入材料检查考虑实际器皿姿态与原座网格，不只检查中心。它与实际接触力、接触候选和PhysX烹饪表示不同；50µm工程门槛不代表真实标定或适用于其他紧配插入任务。</w:t>
      </w:r>
    </w:p>
    <w:p>
      <w:r>
        <w:br w:type="page"/>
      </w:r>
    </w:p>
    <w:p>
      <w:pPr>
        <w:pStyle w:val="Heading1"/>
      </w:pPr>
      <w:r>
        <w:t>物理配置与烹饪表示的证据边界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231"/>
        <w:gridCol w:w="402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实际配置或证据</w:t>
            </w:r>
          </w:p>
        </w:tc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后端与CCD</w:t>
            </w:r>
          </w:p>
        </w:tc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PhysX CPU dynamics 共享构建代码声明；CCD 开启</w:t>
            </w:r>
          </w:p>
        </w:tc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后端来自共享构建代码声明；CCD来自运行保存配置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步进与控制</w:t>
            </w:r>
          </w:p>
        </w:tc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240Hz / 60Hz</w:t>
            </w:r>
          </w:p>
        </w:tc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每控制周期物理步数由频率比计算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求解器</w:t>
            </w:r>
          </w:p>
        </w:tc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TGS</w:t>
            </w:r>
          </w:p>
        </w:tc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位置迭代64 速度迭代1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接触偏移与静止偏移</w:t>
            </w:r>
          </w:p>
        </w:tc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0.00005000m / 0.00000000m</w:t>
            </w:r>
          </w:p>
        </w:tc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沿用基线；不将contact_offset称为位置精度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器皿摩擦与恢复</w:t>
            </w:r>
          </w:p>
        </w:tc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静0.6 动0.5 恢复0.0</w:t>
            </w:r>
          </w:p>
        </w:tc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假设值与average组合；未真实校准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每指关节作用力上限</w:t>
            </w:r>
          </w:p>
        </w:tc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8.0N</w:t>
            </w:r>
          </w:p>
        </w:tc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按阶段调度；不等同于双指实测接触力之和</w:t>
            </w:r>
          </w:p>
        </w:tc>
      </w:tr>
    </w:tbl>
    <w:p>
      <w:pPr>
        <w:spacing w:after="0"/>
      </w:pPr>
    </w:p>
    <w:p>
      <w:r>
        <w:t>preview探针中28个碰撞输入均取得有效凸体烹饪返回。世界米坐标重算的返回表面到输入表面抽样最大13.589µm；反向为14.032µm。零顶点误差不代表整个烹饪面无误差。</w:t>
      </w:r>
    </w:p>
    <w:p>
      <w:r>
        <w:t>这些是逐块顶点和面中心到三角表面的已观察距离，不是复合几何并集外表面误差或全局Hausdorff上界。接口返回当前prim的烹饪表示，未读取已附着PxShape指针。原座实际物理raycast命中表面与源三角面一致的抽样证据，不能替代完整静态烹饪顶点索引读取，也不排除未采样差异。</w:t>
      </w:r>
    </w:p>
    <w:p>
      <w:r>
        <w:t>10.70mm几何证书的搜索最佳余量仅0.261µm，小于上述烹饪表面已观察距离，不能推荐为物理操作尺寸上限。</w:t>
      </w:r>
    </w:p>
    <w:p>
      <w:pPr>
        <w:pStyle w:val="Heading1"/>
      </w:pPr>
      <w:r>
        <w:t>连续相机与时间对齐</w:t>
      </w:r>
    </w:p>
    <w:p>
      <w:r>
        <w:t>侧相机固定世界安装，腕相机安装于panda_hand。实际主配置侧视分辨率[640, 480]，焦距2.0cm；腕视[640, 480]，焦距1.2cm。镜头安装、裁剪与策略256像素变换保持显式配置。</w:t>
      </w:r>
    </w:p>
    <w:p>
      <w:r>
        <w:t>主记录同观测renderer与当前USD的位置关联通过数为侧视6348/6348、腕视6348/6348，计算门槛为1e-8m。两路实际RGB帧数分别为6348、6348，动作与后继状态对齐结果随读取核验JSON保存。这确认记录中的状态关联，不是实物光学标定、接触精度或精确曝光延迟的证明。</w:t>
      </w:r>
    </w:p>
    <w:p>
      <w:r>
        <w:br w:type="page"/>
      </w:r>
    </w:p>
    <w:p>
      <w:pPr>
        <w:pStyle w:val="Heading1"/>
      </w:pPr>
      <w:r>
        <w:t>冻结场景与训练数据资格</w:t>
      </w:r>
    </w:p>
    <w:p>
      <w:r>
        <w:t>collect train以及训练内自动验证统一使用standard并关闭布局 资产 光照和物理随机化。训练RNG种子另行配置；设置随机种子不等于关闭场景随机化。本轮取消random10，不把它列为剩余验收。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778"/>
        <w:gridCol w:w="2778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数据组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合格成功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合格失败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总计 目标各20条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自然控制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确定性动作偏差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配额缺口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7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0"/>
      </w:pPr>
    </w:p>
    <w:p>
      <w:r>
        <w:t>本次合格失败中，自然控制0条，确定性动作偏差20条。全部为CONTROLLED_EARLY_STOP，按配置提前停止；不是自然受阻或碰撞失败样本。按实际事件记录的停止阈值统计：1mm 5条、5mm 5条、10mm 5条、18mm 5条。</w:t>
      </w:r>
    </w:p>
    <w:p>
      <w:r>
        <w:t>资格状态为已按明确的采集审计核对。几何预检、资产加载、初始化、服务异常、人工中断及未真正执行任务的preview不计失败配额。动作偏差只改变已声明阶段动作，记录幅度与版本，场景保持冻结。</w:t>
      </w:r>
    </w:p>
    <w:p>
      <w:r>
        <w:t>成功BC只读合格成功；自然与受控失败分开，原标签保留。按完整episode划分，训练/验证为成功18/2、失败18/2，保持同一固定standard场景。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4309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读取与冻结项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实际证据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正常读取验证条目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每项由已有ACT或DP正常入口实际执行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冻结场景指纹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f435d2a43aae5ba78f71bbc754b0ecaf401…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完整指纹与资产依赖在JSON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便携episode验证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已提供证据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不把旧绝对路径外链当成便携副本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标签与资产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保持原始值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asset_id 场景 控制与代码版本随episode保存</w:t>
            </w:r>
          </w:p>
        </w:tc>
      </w:tr>
    </w:tbl>
    <w:p>
      <w:pPr>
        <w:spacing w:after="0"/>
      </w:pPr>
    </w:p>
    <w:p>
      <w:r>
        <w:t>210785条转换的全时间轴及8D动作映射已通过准入检查；正常读取器选样核对RGB和动作，不是全量逐帧图像核验。本轮未执行训练。</w:t>
      </w:r>
    </w:p>
    <w:p>
      <w:r>
        <w:br w:type="page"/>
      </w:r>
    </w:p>
    <w:p>
      <w:pPr>
        <w:pStyle w:val="Heading1"/>
      </w:pPr>
      <w:r>
        <w:t>复现与交付入口</w:t>
      </w:r>
    </w:p>
    <w:p>
      <w:r>
        <w:t>选定原A座，推荐或实际使用资产cuvette_xy_1000。实际完整任务结论为通过，释放为通过，撤离为通过，撤离后稳定为通过。原12.5mm控制组合的既有冲突结论保留。</w:t>
      </w:r>
    </w:p>
    <w:p>
      <w:pPr>
        <w:spacing w:line="240" w:lineRule="auto"/>
      </w:pPr>
      <w:r>
        <w:rPr>
          <w:rFonts w:ascii="DejaVu Sans Mono" w:hAnsi="DejaVu Sans Mono"/>
          <w:sz w:val="15"/>
        </w:rPr>
        <w:t>bash demos/lab_cuvette_size_v1/run.sh --mode teacher \</w:t>
        <w:br/>
        <w:t xml:space="preserve">  --config config/lab_cuvette_loading/Size_v1/standard.yaml \</w:t>
        <w:br/>
        <w:t xml:space="preserve">  --asset-id cuvette_xy_1000 --output NEW_EPISODE_DIRECTORY</w:t>
        <w:br/>
        <w:br/>
        <w:t>../labutopia-env/bin/python scripts/summarize_lab_cuvette_size_v1.py \</w:t>
        <w:br/>
        <w:t xml:space="preserve">  --root outputs/lab_cuvette_loading/Size_v1 \</w:t>
        <w:br/>
        <w:t xml:space="preserve">  --verification-run-prefix verify5_20261021T021430Z_274d1b2d_00 \</w:t>
        <w:br/>
        <w:t xml:space="preserve">  --collection-audit docs/lab_cuvette_loading/Size_v1/data/final40_actual/collection_audit.json \</w:t>
        <w:br/>
        <w:t xml:space="preserve">  --output NEW_SUMMARY_DIRECTORY</w:t>
      </w:r>
    </w:p>
    <w:p>
      <w:r>
        <w:t>启动入口默认GUI；本轮实际记录使用--headless，尚未实际验证本版本GUI展示。每次使用新目录。正式collect、train及自动验证锁定冻结asset_id；尺寸探索使用独立开发配置，不计10mm配额。解析器保留当前目标偏移，不自动为其他尺寸调参或继承10mm结果。</w:t>
      </w:r>
    </w:p>
    <w:p>
      <w:pPr>
        <w:pStyle w:val="Heading1"/>
      </w:pPr>
      <w:r>
        <w:t>同包代表录像</w:t>
      </w:r>
    </w:p>
    <w:p>
      <w:hyperlink r:id="rId13">
        <w:r>
          <w:t>正式标准场景完整成功录像 同一次105.82秒</w:t>
        </w:r>
      </w:hyperlink>
    </w:p>
    <w:p>
      <w:hyperlink r:id="rId14">
        <w:r>
          <w:t>插入 支撑交接 松爪 撤离近景 88秒至结束</w:t>
        </w:r>
      </w:hyperlink>
    </w:p>
    <w:p>
      <w:hyperlink r:id="rId15">
        <w:r>
          <w:t>受控失败完整录像 1mm深度提前停止 未释放或撤离</w:t>
        </w:r>
      </w:hyperlink>
    </w:p>
    <w:p>
      <w:hyperlink r:id="rId16">
        <w:r>
          <w:t>10.50mm开发失败 抓持判分片段 13.52至17.48秒</w:t>
        </w:r>
      </w:hyperlink>
    </w:p>
    <w:p>
      <w:hyperlink r:id="rId17">
        <w:r>
          <w:t>10.50mm开发失败 实际释放撤离与稳定 91.52秒至结束</w:t>
        </w:r>
      </w:hyperlink>
    </w:p>
    <w:p>
      <w:r>
        <w:t>视频仅按manifest注明整段运行或剪辑范围；主录像应连续包含其实际执行阶段。未发生的插入 松爪 撤离不通过剪辑包装为成功。</w:t>
      </w:r>
    </w:p>
    <w:p>
      <w:pPr>
        <w:pStyle w:val="Heading1"/>
      </w:pPr>
      <w:r>
        <w:t>结果表与剩余工作</w:t>
      </w:r>
    </w:p>
    <w:p>
      <w:hyperlink r:id="rId18">
        <w:r>
          <w:t>candidate_results.csv</w:t>
        </w:r>
      </w:hyperlink>
    </w:p>
    <w:p>
      <w:hyperlink r:id="rId19">
        <w:r>
          <w:t>actual_runs.csv</w:t>
        </w:r>
      </w:hyperlink>
    </w:p>
    <w:p>
      <w:hyperlink r:id="rId20">
        <w:r>
          <w:t>standard5_runs.csv</w:t>
        </w:r>
      </w:hyperlink>
    </w:p>
    <w:p>
      <w:hyperlink r:id="rId21">
        <w:r>
          <w:t>collection_status.csv</w:t>
        </w:r>
      </w:hyperlink>
    </w:p>
    <w:p>
      <w:r>
        <w:t>本轮固定standard已审计合格成功20条、有效失败20条。已达到本轮成功与失败数据目标；受控偏差失败的解释范围按前页分组。尺寸结论仍仅限已测试的离散资产与当前控制；质量、材料、器皿尺寸及机器人动力学仍需实物测量校正，real_calibrated=false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69" w:lineRule="auto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69" w:lineRule="auto"/>
      <w:contextualSpacing/>
    </w:pPr>
    <w:rPr>
      <w:rFonts w:asciiTheme="majorHAnsi" w:eastAsiaTheme="majorEastAsia" w:hAnsiTheme="majorHAnsi" w:cstheme="majorBidi" w:ascii="Aptos" w:hAnsi="Aptos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00"/>
    </w:pPr>
    <w:rPr>
      <w:rFonts w:ascii="Aptos" w:hAnsi="Aptos" w:eastAsia="Noto Sans CJK SC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data/10_failure_audit.json" TargetMode="External"/><Relationship Id="rId13" Type="http://schemas.openxmlformats.org/officeDocument/2006/relationships/hyperlink" Target="media/07_01_standard01_complete_105s.mp4" TargetMode="External"/><Relationship Id="rId14" Type="http://schemas.openxmlformats.org/officeDocument/2006/relationships/hyperlink" Target="media/08_02_standard01_insertion_release_retreat_wrist_88s_to_end.mp4" TargetMode="External"/><Relationship Id="rId15" Type="http://schemas.openxmlformats.org/officeDocument/2006/relationships/hyperlink" Target="media/09_03_controlled_early_stop_full_62s.mp4" TargetMode="External"/><Relationship Id="rId16" Type="http://schemas.openxmlformats.org/officeDocument/2006/relationships/hyperlink" Target="media/10_07_boundary1050_early_grasp_gate_13s_to_18s.mp4" TargetMode="External"/><Relationship Id="rId17" Type="http://schemas.openxmlformats.org/officeDocument/2006/relationships/hyperlink" Target="media/11_08_boundary1050_release_stable_despite_failed_score.mp4" TargetMode="External"/><Relationship Id="rId18" Type="http://schemas.openxmlformats.org/officeDocument/2006/relationships/hyperlink" Target="data/00_candidate_results.csv" TargetMode="External"/><Relationship Id="rId19" Type="http://schemas.openxmlformats.org/officeDocument/2006/relationships/hyperlink" Target="data/01_actual_runs.csv" TargetMode="External"/><Relationship Id="rId20" Type="http://schemas.openxmlformats.org/officeDocument/2006/relationships/hyperlink" Target="data/02_standard5_runs.csv" TargetMode="External"/><Relationship Id="rId21" Type="http://schemas.openxmlformats.org/officeDocument/2006/relationships/hyperlink" Target="data/03_collection_statu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比色皿尺寸变体装载实验报告</dc:title>
  <dc:subject>Size_v1 原座固定尺寸假设 实际任务与数据资格</dc:subject>
  <dc:creator>LabSim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