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器皿装载 V0</w:t>
        <w:br/>
        <w:t>资产创建依据核查报告</w:t>
      </w:r>
    </w:p>
    <w:p>
      <w:pPr>
        <w:pStyle w:val="Subtitle"/>
      </w:pPr>
      <w:r>
        <w:t>lab_cuvette_loading   2026年10月14日</w:t>
      </w:r>
    </w:p>
    <w:p>
      <w:r>
        <w:rPr>
          <w:b w:val="0"/>
        </w:rPr>
        <w:t>本报告供任务负责人、资产开发人员及后续真实校准人员查阅，说明此前V0实验实际使用的资产是如何创建的，关键数值来自哪里，USD与运行时设置有何区别，以及哪些内容仍不能确认。</w:t>
      </w:r>
    </w:p>
    <w:p>
      <w:r>
        <w:rPr>
          <w:b/>
        </w:rPr>
        <w:t>核实结果：器皿、来源架、仪器外壳和装载座均由Python参数化生成Cube组合；照片和视频提供外观、布局及任务关系参考。机器人复用工程内Franka USD。新资产没有使用已核实的CAD、扫描模型、摄影测量或视频自动三维重建。</w:t>
      </w:r>
    </w:p>
    <w:p>
      <w:r>
        <w:rPr>
          <w:b w:val="0"/>
        </w:rPr>
        <w:t>本轮只读取原始任务指令、源码、配置、历史快照及保存的USD。没有修改LabSim工程或原实验输出，没有启动Isaac Sim、重跑实验、训练模型或操作真机。本报告保存在工程外的新目录。</w:t>
      </w:r>
    </w:p>
    <w:p>
      <w:pPr>
        <w:pStyle w:val="Heading2"/>
      </w:pPr>
      <w:r>
        <w:t>工程与历史证据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核对对象</w:t>
            </w:r>
          </w:p>
        </w:tc>
        <w:tc>
          <w:tcPr>
            <w:tcW w:type="dxa" w:w="7370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实际内容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工程目录</w:t>
            </w:r>
          </w:p>
        </w:tc>
        <w:tc>
          <w:tcPr>
            <w:tcW w:type="dxa" w:w="737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/home/wujing/Desktop/vla/LabSim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当前分支</w:t>
            </w:r>
          </w:p>
        </w:tc>
        <w:tc>
          <w:tcPr>
            <w:tcW w:type="dxa" w:w="7370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codex/lab-cuvette-loading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当前提交</w:t>
            </w:r>
          </w:p>
        </w:tc>
        <w:tc>
          <w:tcPr>
            <w:tcW w:type="dxa" w:w="737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44b2cf46a2bb16330be076ee5c528dc2c0054623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历史standard首条提交</w:t>
            </w:r>
          </w:p>
        </w:tc>
        <w:tc>
          <w:tcPr>
            <w:tcW w:type="dxa" w:w="7370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c11a70509ee1ecad429013111070dbd9bd9d7e1a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资产及场景代码一致性</w:t>
            </w:r>
          </w:p>
        </w:tc>
        <w:tc>
          <w:tcPr>
            <w:tcW w:type="dxa" w:w="737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model.py、scene.py及任务代码与历史保存SHA256一致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V0配置一致性</w:t>
            </w:r>
          </w:p>
        </w:tc>
        <w:tc>
          <w:tcPr>
            <w:tcW w:type="dxa" w:w="7370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与standard保存配置语义一致；仅YAML展开格式不同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当前工作区</w:t>
            </w:r>
          </w:p>
        </w:tc>
        <w:tc>
          <w:tcPr>
            <w:tcW w:type="dxa" w:w="737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无未提交修改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证据边界</w:t>
            </w:r>
          </w:p>
        </w:tc>
        <w:tc>
          <w:tcPr>
            <w:tcW w:type="dxa" w:w="7370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源码及USD写入值可以核实；未获得完整PhysX运行时形状和有效质量惯量读回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来源类型的使用方式</w:t>
      </w:r>
    </w:p>
    <w:p>
      <w:r>
        <w:rPr>
          <w:b w:val="0"/>
        </w:rPr>
        <w:t>实测指有对应测量记录；厂家规格指有可追溯型号与资料；图像参考指观察到外观或空间关系；图像估计指根据这些关系人工选取原型数值；合成或人为设定指为原型明确指定参数；继承指直接采用旧资产数据。无法核实的来源、有效值或推导过程在正文标为未知。</w:t>
      </w:r>
    </w:p>
    <w:p>
      <w:r>
        <w:br w:type="page"/>
      </w:r>
    </w:p>
    <w:p>
      <w:pPr>
        <w:pStyle w:val="Heading1"/>
      </w:pPr>
      <w:r>
        <w:t>一 器皿和来源架的几何创建</w:t>
      </w:r>
    </w:p>
    <w:p>
      <w:pPr>
        <w:pStyle w:val="Heading2"/>
      </w:pPr>
      <w:r>
        <w:t>器皿由底板和四面壁生成</w:t>
      </w:r>
    </w:p>
    <w:p>
      <w:r>
        <w:rPr>
          <w:b w:val="0"/>
        </w:rPr>
        <w:t>model.py第48至50行的cuvette_parts()读取外尺寸和壁厚，计算五个长方体的位置及尺寸。export_assets()第90至97行调用内部cube()，为每一部分分别创建Visual和Collision Cube。几何是开口空杯；物理惯量采用另一种简化，不能与几何空腔混为一谈。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5216"/>
      </w:tblGrid>
      <w:tr>
        <w:trPr>
          <w:cantSplit/>
          <w:tblHeader/>
        </w:trPr>
        <w:tc>
          <w:tcPr>
            <w:tcW w:type="dxa" w:w="192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参数或实现</w:t>
            </w:r>
          </w:p>
        </w:tc>
        <w:tc>
          <w:tcPr>
            <w:tcW w:type="dxa" w:w="2494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V0值</w:t>
            </w:r>
          </w:p>
        </w:tc>
        <w:tc>
          <w:tcPr>
            <w:tcW w:type="dxa" w:w="5216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来源及依据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外尺寸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13×13×45 mm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合成设定；视频支持方形透明器皿的识别，不支持这些具体尺寸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壁厚和底厚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均为1 mm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合成设定；同一个wall_m用于底及四壁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内部空间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11×11 mm截面；底上44 mm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由外尺寸与壁厚推导；上方开口，无倒角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视觉形式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5个Cube；opacity 0.28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透明要求来自指令；透明度数值为合成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碰撞形式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5个独立Cube，复合动态刚体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实施选择；没有填满整个器皿的碰撞实体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不透明变体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相同几何，opacity 1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指令要求调试变体；蓝色调试颜色为人为选择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正式资产为cuvette.usda，调试资产为cuvette_debug.usda；没有复用此前圆柱试管或烧杯几何。场景内两个干扰器皿引用同一调试资产，并放在架的后排。</w:t>
      </w:r>
    </w:p>
    <w:p>
      <w:pPr>
        <w:spacing w:after="80"/>
      </w:pPr>
      <w:hyperlink r:id="rId10">
        <w:r>
          <w:rPr>
            <w:color w:val="235B78"/>
            <w:u w:val="single"/>
          </w:rPr>
          <w:t>器皿生成源码  cuvette_parts 第48行及 export_assets 第90行</w:t>
        </w:r>
      </w:hyperlink>
    </w:p>
    <w:p>
      <w:pPr>
        <w:pStyle w:val="Heading2"/>
      </w:pPr>
      <w:r>
        <w:t>来源架由底板和网格隔板生成</w:t>
      </w:r>
    </w:p>
    <w:p>
      <w:r>
        <w:rPr>
          <w:b w:val="0"/>
        </w:rPr>
        <w:t>export_assets()第98至106行生成底板、9条X隔板及7条Y隔板，共17个碰撞Cube和17个视觉Cube。它们围出6×8个方孔。slots()第28至30行根据架的位置、yaw和节距计算槽位坐标，并给出r0c0等ID。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5216"/>
      </w:tblGrid>
      <w:tr>
        <w:trPr>
          <w:cantSplit/>
          <w:tblHeader/>
        </w:trPr>
        <w:tc>
          <w:tcPr>
            <w:tcW w:type="dxa" w:w="192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94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V0值</w:t>
            </w:r>
          </w:p>
        </w:tc>
        <w:tc>
          <w:tcPr>
            <w:tcW w:type="dxa" w:w="5216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来源及依据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行列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6×8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清单标为图像估计；真实架行列匹配未独立测量确认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节距和内宽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17 mm和15 mm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图像关系下的V0人工估计；没有标尺反算或厂家规格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有效深度和底厚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18 mm和4 mm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V0人工估计；未实测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隔板厚度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 mm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由节距减内宽推导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外形和总高</w:t>
            </w:r>
          </w:p>
        </w:tc>
        <w:tc>
          <w:tcPr>
            <w:tcW w:type="dxa" w:w="249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138×104 mm；高22 mm</w:t>
            </w:r>
          </w:p>
        </w:tc>
        <w:tc>
          <w:tcPr>
            <w:tcW w:type="dxa" w:w="5216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由行列、节距、隔板和底厚推导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质量与惯量</w:t>
            </w:r>
          </w:p>
        </w:tc>
        <w:tc>
          <w:tcPr>
            <w:tcW w:type="dxa" w:w="249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未设置</w:t>
            </w:r>
          </w:p>
        </w:tc>
        <w:tc>
          <w:tcPr>
            <w:tcW w:type="dxa" w:w="5216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静态碰撞结构，没有动态RigidBodyAPI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spacing w:after="80"/>
      </w:pPr>
      <w:hyperlink r:id="rId11">
        <w:r>
          <w:rPr>
            <w:color w:val="235B78"/>
            <w:u w:val="single"/>
          </w:rPr>
          <w:t>来源架独立USD  rack.usda</w:t>
        </w:r>
      </w:hyperlink>
    </w:p>
    <w:p>
      <w:r>
        <w:br w:type="page"/>
      </w:r>
    </w:p>
    <w:p>
      <w:pPr>
        <w:pStyle w:val="Heading1"/>
      </w:pPr>
      <w:r>
        <w:t>二 仪器外壳和装载座的几何创建</w:t>
      </w:r>
    </w:p>
    <w:p>
      <w:pPr>
        <w:pStyle w:val="Heading2"/>
      </w:pPr>
      <w:r>
        <w:t>仪器是参考外观关系的简化代理</w:t>
      </w:r>
    </w:p>
    <w:p>
      <w:r>
        <w:rPr>
          <w:b w:val="0"/>
        </w:rPr>
        <w:t>export_assets()第107至122行生成instrument.usda。外壳由Base、Left、Right、Back、Front、Electronics和Lid七件构成；再加目标装载座四壁和邻近空槽四壁，共15个碰撞Cube及对应视觉Cube。没有厂家CAD导入、布尔减孔、自定义Mesh或铰链运动。盖子固定在打开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4932"/>
      </w:tblGrid>
      <w:tr>
        <w:trPr>
          <w:cantSplit/>
          <w:tblHeader/>
        </w:trPr>
        <w:tc>
          <w:tcPr>
            <w:tcW w:type="dxa" w:w="226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3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V0值</w:t>
            </w:r>
          </w:p>
        </w:tc>
        <w:tc>
          <w:tcPr>
            <w:tcW w:type="dxa" w:w="493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来源及推导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仪器平面尺寸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360×280 mm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清单标为图像估计；人工选取的可运行代理尺寸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外壳壁厚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10 mm</w:t>
            </w:r>
          </w:p>
        </w:tc>
        <w:tc>
          <w:tcPr>
            <w:tcW w:type="dxa" w:w="493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V0估计，没有实测或厂家规格佐证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电子模块宽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100 mm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V0估计；内部真实结构未知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台面世界高度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740 mm</w:t>
            </w:r>
          </w:p>
        </w:tc>
        <w:tc>
          <w:tcPr>
            <w:tcW w:type="dxa" w:w="493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图像关系下的布局估计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腔底及壳顶世界高度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800 mm及870 mm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图像关系下的布局估计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Base厚和上部侧壁高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60 mm及70 mm</w:t>
            </w:r>
          </w:p>
        </w:tc>
        <w:tc>
          <w:tcPr>
            <w:tcW w:type="dxa" w:w="493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由上述三个高度相减推导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盖尺寸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240×12×180 mm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V0估计；具体真实盖形未知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盖局部XY中心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−55 mm，145 mm</w:t>
            </w:r>
          </w:p>
        </w:tc>
        <w:tc>
          <w:tcPr>
            <w:tcW w:type="dxa" w:w="493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人工估计布局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邻近槽相对偏移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55 mm，15 mm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图像关系与简化选择；邻近已装器皿被简化为空槽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装载座以四壁和共用底面保留内孔</w:t>
      </w:r>
    </w:p>
    <w:p>
      <w:r>
        <w:rPr>
          <w:b w:val="0"/>
        </w:rPr>
        <w:t>第112至116行在仪器内部创建HolderX0、HolderX1、HolderY0和HolderY1。内宽15 mm、深20 mm、壁厚3 mm均在清单中标为合成值。四壁外轮廓21×21 mm，底面共用Instrument/Base，不是额外的独立座底资产。局部XY为−75 mm、−35 mm，由图像关系与操作布局假设选取。</w:t>
      </w:r>
    </w:p>
    <w:p>
      <w:r>
        <w:rPr>
          <w:b w:val="0"/>
        </w:rPr>
        <w:t>内孔是壁体之间真正未放置碰撞实体的方形空间；没有把整个座做成一个凸包。13 mm器皿与15 mm方孔的名义单侧余量为1 mm。未设置入口倒角；真实座的孔形、深度、底面、朝向和公差尚未知。</w:t>
      </w:r>
    </w:p>
    <w:p>
      <w:r>
        <w:rPr>
          <w:b w:val="0"/>
        </w:rPr>
        <w:t>装载座在instrument.usda内生成，没有单独导出holder.usda。仪器、盖、目标座和邻近槽均是固定碰撞结构，没有设置动态质量、质心或惯量。</w:t>
      </w:r>
    </w:p>
    <w:p>
      <w:pPr>
        <w:spacing w:after="80"/>
      </w:pPr>
      <w:hyperlink r:id="rId10">
        <w:r>
          <w:rPr>
            <w:color w:val="235B78"/>
            <w:u w:val="single"/>
          </w:rPr>
          <w:t>仪器及装载座生成代码  export_assets 第107至122行</w:t>
        </w:r>
      </w:hyperlink>
    </w:p>
    <w:p>
      <w:pPr>
        <w:spacing w:after="80"/>
      </w:pPr>
      <w:hyperlink r:id="rId12">
        <w:r>
          <w:rPr>
            <w:color w:val="235B78"/>
            <w:u w:val="single"/>
          </w:rPr>
          <w:t>仪器独立USD  内含目标座及邻近槽</w:t>
        </w:r>
      </w:hyperlink>
    </w:p>
    <w:p>
      <w:r>
        <w:br w:type="page"/>
      </w:r>
    </w:p>
    <w:p>
      <w:pPr>
        <w:pStyle w:val="Heading1"/>
      </w:pPr>
      <w:r>
        <w:t>三 质量质心和惯量的实际来源</w:t>
      </w:r>
    </w:p>
    <w:p>
      <w:pPr>
        <w:pStyle w:val="Heading2"/>
      </w:pPr>
      <w:r>
        <w:t>器皿质量与惯量为合成设定</w:t>
      </w:r>
    </w:p>
    <w:p>
      <w:r>
        <w:rPr>
          <w:b w:val="0"/>
        </w:rPr>
        <w:t>mass_kg为0.02 kg；center_of_mass_m为[0,0,0]，即外轮廓中心。两者均为人为设定，没有称重、质心测量、材料密度或真实负载记录。开口杯的真实质心不能由此确认。</w:t>
      </w:r>
    </w:p>
    <w:p>
      <w:r>
        <w:rPr>
          <w:b w:val="0"/>
        </w:rPr>
        <w:t>配置对角惯量为[3.656666667×10⁻⁶，3.656666667×10⁻⁶，5.63333333×10⁻⁷] kg·m²。它对应20 g、13×13×45 mm均匀实心外盒的Ixx=m(d²+h²)/12、Iyy=m(w²+h²)/12、Izz=m(w²+d²)/12。生成代码直接写入该向量，没有根据五个空杯壁重新积分。</w:t>
      </w:r>
    </w:p>
    <w:p>
      <w:pPr>
        <w:pStyle w:val="Heading2"/>
      </w:pPr>
      <w:r>
        <w:t>机器人质量与惯量继承旧USD</w:t>
      </w:r>
    </w:p>
    <w:p>
      <w:r>
        <w:rPr>
          <w:b w:val="0"/>
        </w:rPr>
        <w:t>机器人没有新建几何。11个已有Mesh分别兼作可见几何和碰撞几何；九个link/hand使用convexHull，两指使用convexDecomposition。原始CAD及质量、质心、惯量资料来源未知。下表为保存场景中USD的原始写入数值，不是本轮PhysX有效惯量读回；惯量的SI尺度尚未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361"/>
        <w:gridCol w:w="6293"/>
      </w:tblGrid>
      <w:tr>
        <w:trPr>
          <w:cantSplit/>
          <w:tblHeader/>
        </w:trPr>
        <w:tc>
          <w:tcPr>
            <w:tcW w:type="dxa" w:w="1984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刚体</w:t>
            </w:r>
          </w:p>
        </w:tc>
        <w:tc>
          <w:tcPr>
            <w:tcW w:type="dxa" w:w="1361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/>
                <w:color w:val="FFFFFF"/>
                <w:sz w:val="17"/>
              </w:rPr>
              <w:t>质量 kg</w:t>
            </w:r>
          </w:p>
        </w:tc>
        <w:tc>
          <w:tcPr>
            <w:tcW w:type="dxa" w:w="6293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USD对角惯量原始数值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panda_link0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2.8142028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[1.2988697e−6, 1.6535528e−6, 2.0331163e−6]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panda_link1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2.3599997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[1.8686388e−6, 1.4378986e−6, 9.06812e−7]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panda_link2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2.3795187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[1.9038872e−6, 9.1429115e−7, 1.4697537e−6]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panda_link3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2.6498823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[1.2930018e−6, 1.5024211e−6, 1.427346e−6]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panda_link4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2.6948018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[1.3387461e−6, 1.4514325e−6, 1.5517554e−6]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panda_link5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2.9812818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[3.255657e−6, 2.7066046e−6, 1.1502337e−6]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panda_link6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1.1285807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[2.6052564e−7, 3.9897228e−7, 4.704859e−7]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panda_link7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0.40529126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[6.316591e−8, 6.319639e−8, 1.0607721e−7]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panda_link8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0.1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[0,0,0]；实际求解惯量未知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panda_hand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0.5583305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[2.3394448e−7, 5.7827858e−8, 2.1310294e−7]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panda_leftfinger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0.014055223</w:t>
            </w:r>
          </w:p>
        </w:tc>
        <w:tc>
          <w:tcPr>
            <w:tcW w:type="dxa" w:w="6293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[4.2041304e−10, 3.9026365e−10, 1.3347495e−10]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panda_rightfinger</w:t>
            </w:r>
          </w:p>
        </w:tc>
        <w:tc>
          <w:tcPr>
            <w:tcW w:type="dxa" w:w="136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  <w:jc w:val="center"/>
            </w:pPr>
            <w:r>
              <w:rPr>
                <w:b w:val="0"/>
                <w:color w:val="000000"/>
                <w:sz w:val="17"/>
              </w:rPr>
              <w:t>0.014055223</w:t>
            </w:r>
          </w:p>
        </w:tc>
        <w:tc>
          <w:tcPr>
            <w:tcW w:type="dxa" w:w="6293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[4.2041304e−10, 3.9026365e−10, 1.3347495e−10]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上述刚体的USD质心均为[0,0,0]，V0未覆盖；不能据此认定真实质心为零。原Franka资产metersPerUnit为0.01，任务保存场景为1，根scale均为[1,1,1]且上述惯量数值保留。历史单位处理和动力学尺度未核实，不能直接把这些惯量认定为正确的kg·m²实测数据。</w:t>
      </w:r>
    </w:p>
    <w:p>
      <w:pPr>
        <w:spacing w:after="80"/>
      </w:pPr>
      <w:hyperlink r:id="rId13">
        <w:r>
          <w:rPr>
            <w:color w:val="235B78"/>
            <w:u w:val="single"/>
          </w:rPr>
          <w:t>旧机器人USD  原始动力学来源未确认</w:t>
        </w:r>
      </w:hyperlink>
    </w:p>
    <w:p>
      <w:r>
        <w:br w:type="page"/>
      </w:r>
    </w:p>
    <w:p>
      <w:pPr>
        <w:pStyle w:val="Heading1"/>
      </w:pPr>
      <w:r>
        <w:t>四 摩擦接触求解和控制参数</w:t>
      </w:r>
    </w:p>
    <w:p>
      <w:r>
        <w:rPr>
          <w:b w:val="0"/>
        </w:rPr>
        <w:t>以下参数均为本轮合成配置或代码固定值，未由真实材料、接触实验、厂家资料或真实响应标定取得。部分常见Franka限值即使数值相似，也没有工程内资料引用，来源仍按合成选择记录。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4252"/>
      </w:tblGrid>
      <w:tr>
        <w:trPr>
          <w:cantSplit/>
          <w:tblHeader/>
        </w:trPr>
        <w:tc>
          <w:tcPr>
            <w:tcW w:type="dxa" w:w="2551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参数与适用范围</w:t>
            </w:r>
          </w:p>
        </w:tc>
        <w:tc>
          <w:tcPr>
            <w:tcW w:type="dxa" w:w="2835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V0设定</w:t>
            </w:r>
          </w:p>
        </w:tc>
        <w:tc>
          <w:tcPr>
            <w:tcW w:type="dxa" w:w="425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来源与实际设置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器皿 架 仪器及装载座摩擦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静0.6；动0.5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配置合成值；写入各资产物理材质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指端摩擦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静1.0；动0.8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配置合成值；运行时绑定FingerPhysics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恢复系数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资产读取配置；指端代码固定0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材质组合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摩擦及恢复均average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生成器及运行时代码固定选择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contact offset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0.0001 m即0.1 mm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新资产写入USD；机器人运行时覆盖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rest offset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0 m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新资产读取配置；机器人代码固定0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求解器及后端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CPU PhysX；TGS；MBP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配置或运行时固定选择，非真机参数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频率和迭代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物理240 Hz；控制60 Hz；64/16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配置合成选择；每周期4物理子步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CCD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场景开启；器皿开启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场景跟随配置；器皿导出代码固定True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机械臂增益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Kp 20000×4及12000×3；Kd 500×4及200×3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配置合成；SI控制增益写入并读回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指端增益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Kp 2000 N/m；Kd 100 N·s/m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配置合成，运行时覆盖旧驱动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力矩与指端力限制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臂87 N·m×4及12 N·m×3；双指各8 N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配置合成；force驱动，已有读回证据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速度限制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臂2.175 rad/s×4及2.61×3；双指0.1 m/s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配置合成，USD及张量接口设置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基座和TCP</w:t>
            </w:r>
          </w:p>
        </w:tc>
        <w:tc>
          <w:tcPr>
            <w:tcW w:type="dxa" w:w="2835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基座[−0.30,0,0.74] m；局部TCP[0,0,0.10] m</w:t>
            </w:r>
          </w:p>
        </w:tc>
        <w:tc>
          <w:tcPr>
            <w:tcW w:type="dxa" w:w="425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工程操作点设定，不是真机安装或TCP标定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IK容差</w:t>
            </w:r>
          </w:p>
        </w:tc>
        <w:tc>
          <w:tcPr>
            <w:tcW w:type="dxa" w:w="2835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位置0.05 mm；姿态0.003 rad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人为控制求解容差，不是位置精度结论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器皿视觉opacity为0.28；ior=1.46和透明粗糙度0.18在material()中写死，不透明粗糙度为0.5。它们是外观近似，不构成真实玻璃或石英光学参数。</w:t>
      </w:r>
    </w:p>
    <w:p>
      <w:r>
        <w:rPr>
          <w:b w:val="0"/>
        </w:rPr>
        <w:t>机器人非指端碰撞Mesh没有在V0中显式绑定相同的环境物理材质；其最终回退摩擦未知。桌面由FixedCuboid生成，V0未显式绑定上述材质和接触偏移，不能把器皿/架/仪器的设置推广到所有物体。</w:t>
      </w:r>
    </w:p>
    <w:p>
      <w:pPr>
        <w:spacing w:after="80"/>
      </w:pPr>
      <w:hyperlink r:id="rId14">
        <w:r>
          <w:rPr>
            <w:color w:val="235B78"/>
            <w:u w:val="single"/>
          </w:rPr>
          <w:t>配置物理与机器人参数  V0.yaml 第7至20及61至74行</w:t>
        </w:r>
      </w:hyperlink>
    </w:p>
    <w:p>
      <w:pPr>
        <w:spacing w:after="80"/>
      </w:pPr>
      <w:hyperlink r:id="rId10">
        <w:r>
          <w:rPr>
            <w:color w:val="235B78"/>
            <w:u w:val="single"/>
          </w:rPr>
          <w:t>物理材质与碰撞写入  model.py 第71至87行</w:t>
        </w:r>
      </w:hyperlink>
    </w:p>
    <w:p>
      <w:r>
        <w:br w:type="page"/>
      </w:r>
    </w:p>
    <w:p>
      <w:pPr>
        <w:pStyle w:val="Heading1"/>
      </w:pPr>
      <w:r>
        <w:t>五 视觉碰撞分离和USD运行时覆盖</w:t>
      </w:r>
    </w:p>
    <w:p>
      <w:pPr>
        <w:pStyle w:val="Heading2"/>
      </w:pPr>
      <w:r>
        <w:t>新资产使用独立视觉与碰撞prim</w:t>
      </w:r>
    </w:p>
    <w:p>
      <w:r>
        <w:rPr>
          <w:b w:val="0"/>
        </w:rPr>
        <w:t>cube()使用UsdGeom.Cube.Define并以size=1、translate和scale建立长方体。新资产每个实体创建两份同尺寸几何：Visual绑定外观材质，Collision加CollisionAPI、PhysxCollisionAPI及物理材质并隐藏。没有自定义Mesh、Cylinder、Sphere、SDF或整体孔座凸包。机器人则保留旧Mesh兼作视觉和碰撞，并未采用双份几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438"/>
        <w:gridCol w:w="4592"/>
      </w:tblGrid>
      <w:tr>
        <w:trPr>
          <w:cantSplit/>
          <w:tblHeader/>
        </w:trPr>
        <w:tc>
          <w:tcPr>
            <w:tcW w:type="dxa" w:w="260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243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保存USD几何数</w:t>
            </w:r>
          </w:p>
        </w:tc>
        <w:tc>
          <w:tcPr>
            <w:tcW w:type="dxa" w:w="459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碰撞数及表示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器皿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10个Cube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5个原生Box；动态复合刚体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来源架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34个Cube</w:t>
            </w:r>
          </w:p>
        </w:tc>
        <w:tc>
          <w:tcPr>
            <w:tcW w:type="dxa" w:w="459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17个原生Box；静态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仪器含装载座及邻近槽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30个Cube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15个原生Box；静态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243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11个Mesh</w:t>
            </w:r>
          </w:p>
        </w:tc>
        <w:tc>
          <w:tcPr>
            <w:tcW w:type="dxa" w:w="459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9 convexHull；双指convexDecomposition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Cube没有Mesh approximation字段；不能把该字段缺失解释成没有碰撞。架孔、仪器腔和座孔由分离壁体之间的空隙构成。座内孔底面是仪器Base；历史重载检查射线命中该底面，Z约0.8 m。</w:t>
      </w:r>
    </w:p>
    <w:p>
      <w:pPr>
        <w:pStyle w:val="Heading2"/>
      </w:pPr>
      <w:r>
        <w:t>当前配置在启动时重新生成该次资产</w:t>
      </w:r>
    </w:p>
    <w:p>
      <w:r>
        <w:rPr>
          <w:b w:val="0"/>
        </w:rPr>
        <w:t>run.py第19行调用export_assets(output/assets,cfg)，随后场景build()引用该输出资产。仓库里的V0 USD是已保存版本；任务启动不是始终直接加载它。生成后，设备位置及yaw按standard或random布局在场景层设置。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309"/>
        <w:gridCol w:w="2721"/>
      </w:tblGrid>
      <w:tr>
        <w:trPr>
          <w:cantSplit/>
          <w:tblHeader/>
        </w:trPr>
        <w:tc>
          <w:tcPr>
            <w:tcW w:type="dxa" w:w="260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参数或对象</w:t>
            </w:r>
          </w:p>
        </w:tc>
        <w:tc>
          <w:tcPr>
            <w:tcW w:type="dxa" w:w="4309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是否被运行时代码覆盖</w:t>
            </w:r>
          </w:p>
        </w:tc>
        <w:tc>
          <w:tcPr>
            <w:tcW w:type="dxa" w:w="2721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7"/>
              </w:rPr>
              <w:t>证据位置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器皿质量  质心  惯量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生成时由配置写入；场景未再覆盖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model.py第95至96行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来源架  仪器世界变换</w:t>
            </w:r>
          </w:p>
        </w:tc>
        <w:tc>
          <w:tcPr>
            <w:tcW w:type="dxa" w:w="430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加载后设置位置与yaw；座同步变换</w:t>
            </w:r>
          </w:p>
        </w:tc>
        <w:tc>
          <w:tcPr>
            <w:tcW w:type="dxa" w:w="272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scene.py第35至39行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机器人几何  质量  质心  惯量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继承原USD；V0未显式重写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scene.py第33行及保存展开USD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机器人碰撞偏移  指端材质</w:t>
            </w:r>
          </w:p>
        </w:tc>
        <w:tc>
          <w:tcPr>
            <w:tcW w:type="dxa" w:w="430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覆盖旧USD设置</w:t>
            </w:r>
          </w:p>
        </w:tc>
        <w:tc>
          <w:tcPr>
            <w:tcW w:type="dxa" w:w="272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scene.py第52至59行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关节驱动和速度限制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改为force驱动；设增益及限制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scene.py第60至64行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张量接口增益 力  速度</w:t>
            </w:r>
          </w:p>
        </w:tc>
        <w:tc>
          <w:tcPr>
            <w:tcW w:type="dxa" w:w="430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reset后再次设置；记录读回值</w:t>
            </w:r>
          </w:p>
        </w:tc>
        <w:tc>
          <w:tcPr>
            <w:tcW w:type="dxa" w:w="272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scene.py第74行及effective.json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物理场景与迭代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CPU/TGS/CCD及关节根迭代被设置</w:t>
            </w:r>
          </w:p>
        </w:tc>
        <w:tc>
          <w:tcPr>
            <w:tcW w:type="dxa" w:w="272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7"/>
              </w:rPr>
              <w:t>scene.py第48及55至56行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spacing w:after="80"/>
      </w:pPr>
      <w:hyperlink r:id="rId15">
        <w:r>
          <w:rPr>
            <w:color w:val="235B78"/>
            <w:u w:val="single"/>
          </w:rPr>
          <w:t>运行时场景构建与参数覆盖  build 第7行</w:t>
        </w:r>
      </w:hyperlink>
    </w:p>
    <w:p>
      <w:r>
        <w:br w:type="page"/>
      </w:r>
    </w:p>
    <w:p>
      <w:pPr>
        <w:pStyle w:val="Heading1"/>
      </w:pPr>
      <w:r>
        <w:t>六 原始指令要求与实施选择</w:t>
      </w:r>
    </w:p>
    <w:p>
      <w:r>
        <w:rPr>
          <w:b w:val="0"/>
        </w:rPr>
        <w:t>原始指令要求以真实视频、四张照片和已有工程建立可运行原型，并明确允许缺少信息时采用标注来源的可配置估计值。它要求参数化场景，但未指定必须用Python、Cube、CAD、扫描或自动图像重建。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969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原始指令要求</w:t>
            </w:r>
          </w:p>
        </w:tc>
        <w:tc>
          <w:tcPr>
            <w:tcW w:type="dxa" w:w="408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V0实施时自行选择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几何方法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参数化场景；保持主要轮廓与相对关系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Python生成Cube组合；未用CAD或自动重建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器皿</w:t>
            </w:r>
          </w:p>
        </w:tc>
        <w:tc>
          <w:tcPr>
            <w:tcW w:type="dxa" w:w="396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方形外轮廓、透明、visual/collision分离、空杯或固定负载</w:t>
            </w:r>
          </w:p>
        </w:tc>
        <w:tc>
          <w:tcPr>
            <w:tcW w:type="dxa" w:w="408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13×13×45 mm、壁1 mm、20 g、实心外盒惯量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来源架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可配置行列、槽坐标/ID、承托与孔腔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6×8、17 mm节距、15 mm内孔；前排8槽可抓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仪器</w:t>
            </w:r>
          </w:p>
        </w:tc>
        <w:tc>
          <w:tcPr>
            <w:tcW w:type="dxa" w:w="396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外壳可简化；腔/座/邻近结构可碰撞；盖固定打开</w:t>
            </w:r>
          </w:p>
        </w:tc>
        <w:tc>
          <w:tcPr>
            <w:tcW w:type="dxa" w:w="408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七件外壳Cube、四壁座、四壁空邻近槽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孔洞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避免凸包填平槽孔；座位于仪器内部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分离Box壁＋共用Base底；无倒角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396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核查型号；无可运行对应模型时可用Franka代理</w:t>
            </w:r>
          </w:p>
        </w:tc>
        <w:tc>
          <w:tcPr>
            <w:tcW w:type="dxa" w:w="408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引用旧Franka USD；未确认真实neo型号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资产交付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独立USD、重载和reset验证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四个USD；装载座包含于instrument.usda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物理参数</w:t>
            </w:r>
          </w:p>
        </w:tc>
        <w:tc>
          <w:tcPr>
            <w:tcW w:type="dxa" w:w="3969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配置化，标明来源；核查驱动单位/作用力/速度</w:t>
            </w:r>
          </w:p>
        </w:tc>
        <w:tc>
          <w:tcPr>
            <w:tcW w:type="dxa" w:w="408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当前摩擦、接触偏移、增益、限值与求解配置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后续真实校准</w:t>
            </w:r>
          </w:p>
        </w:tc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新建V1，不覆盖V0；不能把估计模型称为已校准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当前calibrated=false；保留测量导入接口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参数清单标签不等同于测量证据</w:t>
      </w:r>
    </w:p>
    <w:p>
      <w:r>
        <w:rPr>
          <w:b w:val="0"/>
        </w:rPr>
        <w:t>parameter_manifest.json把layout、rack和instrument整组标为image_estimated，说明数值来自图像关系下的V0估计。没有记录像素量测、标尺、相机标定或尺寸反算，因此不能把这些尺寸报告成通过照片测出的毫米值。cuvette、holder、physics及robot控制参数则标为synthetic。</w:t>
      </w:r>
    </w:p>
    <w:p>
      <w:r>
        <w:rPr>
          <w:b w:val="0"/>
        </w:rPr>
        <w:t>部分参数依据只写“工程默认或本轮合成选择”，不能进一步区分历史默认和本轮具体调参过程。未找到厂家规格引用；未知项按未知记录。ior、roughness、桌面尺寸和部分场景颜色仍为代码固定值，参数化并不覆盖所有外观与背景细节。</w:t>
      </w:r>
    </w:p>
    <w:p>
      <w:pPr>
        <w:spacing w:after="80"/>
      </w:pPr>
      <w:hyperlink r:id="rId16">
        <w:r>
          <w:rPr>
            <w:color w:val="235B78"/>
            <w:u w:val="single"/>
          </w:rPr>
          <w:t>原始任务指令  资产要求第97至145行  参数化第147行</w:t>
        </w:r>
      </w:hyperlink>
    </w:p>
    <w:p>
      <w:pPr>
        <w:spacing w:after="80"/>
      </w:pPr>
      <w:hyperlink r:id="rId17">
        <w:r>
          <w:rPr>
            <w:color w:val="235B78"/>
            <w:u w:val="single"/>
          </w:rPr>
          <w:t>完整V0参数来源清单  宽泛标签需结合本报告解读</w:t>
        </w:r>
      </w:hyperlink>
    </w:p>
    <w:p>
      <w:r>
        <w:br w:type="page"/>
      </w:r>
    </w:p>
    <w:p>
      <w:pPr>
        <w:pStyle w:val="Heading1"/>
      </w:pPr>
      <w:r>
        <w:t>七 证据范围未知项与真实测量需求</w:t>
      </w:r>
    </w:p>
    <w:p>
      <w:pPr>
        <w:pStyle w:val="Heading2"/>
      </w:pPr>
      <w:r>
        <w:t>已核实和未核实的边界</w:t>
      </w:r>
    </w:p>
    <w:p>
      <w:r>
        <w:rPr>
          <w:b w:val="0"/>
        </w:rPr>
        <w:t>可以核实当前代码的生成路线、配置数值、保存USD的原生几何、CollisionAPI、材质绑定和写入值，以及运行时覆盖代码。历史usd_reload_check.json还保存四资产加载、两次复位及空目标孔底面的射线检查。本轮只读取这些旧证据，没有重复执行检查。</w:t>
      </w:r>
    </w:p>
    <w:p>
      <w:r>
        <w:rPr>
          <w:b w:val="0"/>
        </w:rPr>
        <w:t>effective()读回了后端、求解器、GPU dynamics、场景CCD、增益、作用力和速度上限；contact_offset、rest_offset及部分频率字段直接取配置。因而effective.json中的偏移不能称为逐形状PhysX有效值读回。保存USD支持其写入值，但完整cooked形状、接触回退参数及有效质量惯量仍未知。</w:t>
      </w:r>
    </w:p>
    <w:p>
      <w:r>
        <w:rPr>
          <w:b w:val="0"/>
        </w:rPr>
        <w:t>机器人USD原单位标记0.01、场景单位1及继承惯量的尺度问题需要单独核验。读取USD不是执行物理解析或证明动力学正确；本报告也不能仅依据数值大小就认定具体错误原因。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92"/>
        <w:gridCol w:w="3231"/>
      </w:tblGrid>
      <w:tr>
        <w:trPr>
          <w:cantSplit/>
          <w:tblHeader/>
        </w:trPr>
        <w:tc>
          <w:tcPr>
            <w:tcW w:type="dxa" w:w="1814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对象或问题</w:t>
            </w:r>
          </w:p>
        </w:tc>
        <w:tc>
          <w:tcPr>
            <w:tcW w:type="dxa" w:w="459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尚需真实测量或独立核验</w:t>
            </w:r>
          </w:p>
        </w:tc>
        <w:tc>
          <w:tcPr>
            <w:tcW w:type="dxa" w:w="3231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对当前结论的限制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器皿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外形、底厚、壁厚、倒角；质量、质心和惯量；材质</w:t>
            </w:r>
          </w:p>
        </w:tc>
        <w:tc>
          <w:tcPr>
            <w:tcW w:type="dxa" w:w="32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当前是空杯代理，非真实器皿定量模型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来源架</w:t>
            </w:r>
          </w:p>
        </w:tc>
        <w:tc>
          <w:tcPr>
            <w:tcW w:type="dxa" w:w="459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行列、孔截面、间距、深度、底面及加工偏差</w:t>
            </w:r>
          </w:p>
        </w:tc>
        <w:tc>
          <w:tcPr>
            <w:tcW w:type="dxa" w:w="323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图像参考无法确认精确几何与装载余量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仪器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整机与腔体尺寸、入口、盖结构和邻近障碍物</w:t>
            </w:r>
          </w:p>
        </w:tc>
        <w:tc>
          <w:tcPr>
            <w:tcW w:type="dxa" w:w="32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UV2510风格不代表厂家内部机构匹配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装载座</w:t>
            </w:r>
          </w:p>
        </w:tc>
        <w:tc>
          <w:tcPr>
            <w:tcW w:type="dxa" w:w="459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实际孔形、深度、倒角、公差、底面及安装坐标</w:t>
            </w:r>
          </w:p>
        </w:tc>
        <w:tc>
          <w:tcPr>
            <w:tcW w:type="dxa" w:w="323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15 mm方孔和20 mm深仅是合成参数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机器人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型号、夹爪、匹配模型、TCP、安装坐标、响应</w:t>
            </w:r>
          </w:p>
        </w:tc>
        <w:tc>
          <w:tcPr>
            <w:tcW w:type="dxa" w:w="32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Franka代理不等同真实视频机器人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动力学与接触</w:t>
            </w:r>
          </w:p>
        </w:tc>
        <w:tc>
          <w:tcPr>
            <w:tcW w:type="dxa" w:w="459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真实材料摩擦、恢复、夹爪力；有效惯量与单位</w:t>
            </w:r>
          </w:p>
        </w:tc>
        <w:tc>
          <w:tcPr>
            <w:tcW w:type="dxa" w:w="323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没有真实接触或动力学校准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碰撞与采集证据</w:t>
            </w:r>
          </w:p>
        </w:tc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完整运行时形状和有效参数读回；相机标定</w:t>
            </w:r>
          </w:p>
        </w:tc>
        <w:tc>
          <w:tcPr>
            <w:tcW w:type="dxa" w:w="32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旧几何检查不覆盖所有机器人/动态物体重叠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后续处理方式</w:t>
      </w:r>
    </w:p>
    <w:p>
      <w:r>
        <w:rPr>
          <w:b w:val="0"/>
        </w:rPr>
        <w:t>真实数据到位后，先确认机器人及工具，再替换对应模型、测量尺寸和操作坐标，并以新V1记录每项参数来源。器皿惯量应使用测量或与真实空杯质量分布一致的计算。物理材质和响应另做校准；不能通过改变有效孔径、隐藏碰撞或放宽成功判据匹配结果。</w:t>
      </w:r>
    </w:p>
    <w:p>
      <w:r>
        <w:rPr>
          <w:b w:val="0"/>
        </w:rPr>
        <w:t>本轮得到的是资产来源与工程实现说明。此前任务运行成功能够支持当前代理任务可执行，不能证明资产尺寸真实、动力学已标定、真实亚毫米精度或real-to-sim差距已验证。</w:t>
      </w:r>
    </w:p>
    <w:p>
      <w:pPr>
        <w:sectPr>
          <w:footerReference w:type="default" r:id="rId9"/>
          <w:pgSz w:w="11906" w:h="16838"/>
          <w:pgMar w:top="907" w:right="1134" w:bottom="907" w:left="1134" w:header="720" w:footer="369" w:gutter="0"/>
          <w:cols w:space="720"/>
          <w:docGrid w:linePitch="360"/>
        </w:sectPr>
      </w:pPr>
    </w:p>
    <w:p>
      <w:pPr>
        <w:pStyle w:val="Heading1"/>
      </w:pPr>
      <w:r>
        <w:t>八 资产生成方法与参数来源汇总表</w:t>
      </w:r>
    </w:p>
    <w:p>
      <w:r>
        <w:rPr>
          <w:b w:val="0"/>
        </w:rPr>
        <w:t>表中“图像参考”只指主要外观和关系；没有实测记录或厂家规格支撑的毫米数值统一保留为V0估计或合成值。代码位置为项目内相对路径；完整文件链接见后页。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3742"/>
        <w:gridCol w:w="2778"/>
        <w:gridCol w:w="3458"/>
      </w:tblGrid>
      <w:tr>
        <w:trPr>
          <w:cantSplit/>
          <w:tblHeader/>
        </w:trPr>
        <w:tc>
          <w:tcPr>
            <w:tcW w:type="dxa" w:w="1191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40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生成方法</w:t>
            </w:r>
          </w:p>
        </w:tc>
        <w:tc>
          <w:tcPr>
            <w:tcW w:type="dxa" w:w="3742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参数来源</w:t>
            </w:r>
          </w:p>
        </w:tc>
        <w:tc>
          <w:tcPr>
            <w:tcW w:type="dxa" w:w="277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代码位置</w:t>
            </w:r>
          </w:p>
        </w:tc>
        <w:tc>
          <w:tcPr>
            <w:tcW w:type="dxa" w:w="3458"/>
            <w:vAlign w:val="center"/>
            <w:shd w:fill="333333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尚需真实测量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器皿</w:t>
              <w:br/>
              <w:t>新建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Python参数化底＋四壁；5 Visual＋5 Collision Cube；动态空杯；透明及不透明变体</w:t>
            </w:r>
          </w:p>
        </w:tc>
        <w:tc>
          <w:tcPr>
            <w:tcW w:type="dxa" w:w="374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外观参考视频；13×13×45 mm、壁1 mm、20 g、质心0为合成；惯量采用实心外盒近似</w:t>
            </w:r>
          </w:p>
        </w:tc>
        <w:tc>
          <w:tcPr>
            <w:tcW w:type="dxa" w:w="277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model.py</w:t>
              <w:br/>
              <w:t>cuvette_parts 48</w:t>
              <w:br/>
              <w:t>export_assets 90至97</w:t>
              <w:br/>
              <w:t>V0.yaml 39至48</w:t>
              <w:br/>
              <w:t>cuvette*.usda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尺寸、壁/底厚、倒角；真实质量、质心、惯量；摩擦和光学材质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来源架</w:t>
              <w:br/>
              <w:t>新建</w:t>
            </w:r>
          </w:p>
        </w:tc>
        <w:tc>
          <w:tcPr>
            <w:tcW w:type="dxa" w:w="340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Python参数化底板＋网格隔板；17个碰撞Box、48方孔；静态独立USD</w:t>
            </w:r>
          </w:p>
        </w:tc>
        <w:tc>
          <w:tcPr>
            <w:tcW w:type="dxa" w:w="374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白色多槽外观参考图像；6×8、节距17 mm、内宽15 mm、深18 mm、底4 mm为V0估计；无动态质量惯量</w:t>
            </w:r>
          </w:p>
        </w:tc>
        <w:tc>
          <w:tcPr>
            <w:tcW w:type="dxa" w:w="277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model.py</w:t>
              <w:br/>
              <w:t>export_assets 98至106</w:t>
              <w:br/>
              <w:t>slots 28至30</w:t>
              <w:br/>
              <w:t>V0.yaml 30至38</w:t>
              <w:br/>
              <w:t>rack.usda</w:t>
            </w:r>
          </w:p>
        </w:tc>
        <w:tc>
          <w:tcPr>
            <w:tcW w:type="dxa" w:w="345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真实行列、孔形、间距、深度、底面、公差、材质和坐标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仪器外壳</w:t>
              <w:br/>
              <w:t>新建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Python Cube组合；外壳7件＋座4壁＋邻近槽4壁；15碰撞体；固定开盖</w:t>
            </w:r>
          </w:p>
        </w:tc>
        <w:tc>
          <w:tcPr>
            <w:tcW w:type="dxa" w:w="374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UV2510风格和布局参考图像；360×280 mm、壁10 mm、腔底800 mm、壳顶870 mm为估计；无动态质量惯量</w:t>
            </w:r>
          </w:p>
        </w:tc>
        <w:tc>
          <w:tcPr>
            <w:tcW w:type="dxa" w:w="277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model.py</w:t>
              <w:br/>
              <w:t>export_assets 107至122</w:t>
              <w:br/>
              <w:t>V0.yaml 21至29及49至55</w:t>
              <w:br/>
              <w:t>instrument.usda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整机、腔体、入口、盖子、邻近结构及与机器人相对布局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装载座</w:t>
              <w:br/>
              <w:t>新建</w:t>
            </w:r>
          </w:p>
        </w:tc>
        <w:tc>
          <w:tcPr>
            <w:tcW w:type="dxa" w:w="340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instrument.usda内四壁Box；底共用Instrument/Base；方孔为空；未独立导出holder USD</w:t>
            </w:r>
          </w:p>
        </w:tc>
        <w:tc>
          <w:tcPr>
            <w:tcW w:type="dxa" w:w="3742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位置为图像关系与操作假设；内宽15 mm、深20 mm、壁3 mm合成；无动态质量惯量</w:t>
            </w:r>
          </w:p>
        </w:tc>
        <w:tc>
          <w:tcPr>
            <w:tcW w:type="dxa" w:w="277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model.py</w:t>
              <w:br/>
              <w:t>export_assets 112至116</w:t>
              <w:br/>
              <w:t>V0.yaml 27至28及56至60</w:t>
              <w:br/>
              <w:t>HolderX0/X1/Y0/Y1</w:t>
            </w:r>
          </w:p>
        </w:tc>
        <w:tc>
          <w:tcPr>
            <w:tcW w:type="dxa" w:w="3458"/>
            <w:vAlign w:val="center"/>
            <w:shd w:fill="F3F4F5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真实孔形、倒角、尺寸、深度、底面、公差、摩擦及夹爪净空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机器人</w:t>
              <w:br/>
              <w:t>复用</w:t>
            </w:r>
          </w:p>
        </w:tc>
        <w:tc>
          <w:tcPr>
            <w:tcW w:type="dxa" w:w="340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旧Franka USD；11 Mesh兼作视觉和碰撞；9凸包＋双指凸分解；Franka与Lula IK</w:t>
            </w:r>
          </w:p>
        </w:tc>
        <w:tc>
          <w:tcPr>
            <w:tcW w:type="dxa" w:w="3742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几何/质量/质心/惯量继承旧资产，原CAD及参数依据未知；TCP、增益、限制和指端摩擦为V0设定</w:t>
            </w:r>
          </w:p>
        </w:tc>
        <w:tc>
          <w:tcPr>
            <w:tcW w:type="dxa" w:w="277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scene.py</w:t>
              <w:br/>
              <w:t>build 33及52至74</w:t>
              <w:br/>
              <w:t>V0.yaml 7至20</w:t>
              <w:br/>
              <w:t>assets/robots/Franka.usd</w:t>
            </w:r>
          </w:p>
        </w:tc>
        <w:tc>
          <w:tcPr>
            <w:tcW w:type="dxa" w:w="345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真实机器人/夹爪型号及匹配模型；TCP、安装、响应；原USD单位和惯量尺度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共同接触选择：器皿/架/仪器/座摩擦0.6及0.5，指端1.0及0.8；恢复系数0；组合average；接触偏移0.1 mm、rest offset 0。全部未真实校准。机器人非指端及桌面回退材质的最终有效值未核实。</w:t>
      </w:r>
    </w:p>
    <w:p>
      <w:pPr>
        <w:sectPr>
          <w:pgSz w:w="16838" w:h="11906" w:orient="landscape"/>
          <w:pgMar w:top="907" w:right="1134" w:bottom="907" w:left="1134" w:header="720" w:footer="369" w:gutter="0"/>
          <w:cols w:space="720"/>
          <w:docGrid w:linePitch="360"/>
        </w:sectPr>
      </w:pPr>
    </w:p>
    <w:p>
      <w:pPr>
        <w:pStyle w:val="Heading1"/>
      </w:pPr>
      <w:r>
        <w:t>九 源码配置资产和历史证据索引</w:t>
      </w:r>
    </w:p>
    <w:p>
      <w:r>
        <w:rPr>
          <w:b w:val="0"/>
        </w:rPr>
        <w:t>下列链接指向本机现有文件。源码行号与函数用于定位，链接直接打开文件；移动文档到其他电脑后，需要同时提供对应工程及输出。全文没有使用无法追溯的厂家参数作为依据。</w:t>
      </w:r>
    </w:p>
    <w:p>
      <w:pPr>
        <w:spacing w:after="80"/>
      </w:pPr>
      <w:hyperlink r:id="rId16">
        <w:r>
          <w:rPr>
            <w:color w:val="235B78"/>
            <w:u w:val="single"/>
          </w:rPr>
          <w:t>原始任务指令  几何路线未限定为Cube或Python</w:t>
        </w:r>
      </w:hyperlink>
    </w:p>
    <w:p>
      <w:pPr>
        <w:spacing w:after="80"/>
      </w:pPr>
      <w:hyperlink r:id="rId14">
        <w:r>
          <w:rPr>
            <w:color w:val="235B78"/>
            <w:u w:val="single"/>
          </w:rPr>
          <w:t>V0配置  器皿架仪器座机器人及物理数值</w:t>
        </w:r>
      </w:hyperlink>
    </w:p>
    <w:p>
      <w:pPr>
        <w:spacing w:after="80"/>
      </w:pPr>
      <w:hyperlink r:id="rId17">
        <w:r>
          <w:rPr>
            <w:color w:val="235B78"/>
            <w:u w:val="single"/>
          </w:rPr>
          <w:t>参数来源清单  image_estimated与synthetic标签</w:t>
        </w:r>
      </w:hyperlink>
    </w:p>
    <w:p>
      <w:pPr>
        <w:spacing w:after="80"/>
      </w:pPr>
      <w:hyperlink r:id="rId10">
        <w:r>
          <w:rPr>
            <w:color w:val="235B78"/>
            <w:u w:val="single"/>
          </w:rPr>
          <w:t>几何生成代码  cuvette_parts slots export_assets及内部cube/material</w:t>
        </w:r>
      </w:hyperlink>
    </w:p>
    <w:p>
      <w:pPr>
        <w:spacing w:after="80"/>
      </w:pPr>
      <w:hyperlink r:id="rId15">
        <w:r>
          <w:rPr>
            <w:color w:val="235B78"/>
            <w:u w:val="single"/>
          </w:rPr>
          <w:t>场景构建代码  引用资产及运行时覆盖</w:t>
        </w:r>
      </w:hyperlink>
    </w:p>
    <w:p>
      <w:pPr>
        <w:spacing w:after="80"/>
      </w:pPr>
      <w:hyperlink r:id="rId18">
        <w:r>
          <w:rPr>
            <w:color w:val="235B78"/>
            <w:u w:val="single"/>
          </w:rPr>
          <w:t>运行入口  run读取配置并生成该次output/assets</w:t>
        </w:r>
      </w:hyperlink>
    </w:p>
    <w:p>
      <w:pPr>
        <w:spacing w:after="80"/>
      </w:pPr>
      <w:hyperlink r:id="rId19">
        <w:r>
          <w:rPr>
            <w:color w:val="235B78"/>
            <w:u w:val="single"/>
          </w:rPr>
          <w:t>任务代码  effective的读回与配置转写区别</w:t>
        </w:r>
      </w:hyperlink>
    </w:p>
    <w:p>
      <w:pPr>
        <w:spacing w:after="80"/>
      </w:pPr>
      <w:hyperlink r:id="rId20">
        <w:r>
          <w:rPr>
            <w:color w:val="235B78"/>
            <w:u w:val="single"/>
          </w:rPr>
          <w:t>任务规格  图像观察代理模型与假设范围</w:t>
        </w:r>
      </w:hyperlink>
    </w:p>
    <w:p>
      <w:pPr>
        <w:spacing w:after="80"/>
      </w:pPr>
      <w:hyperlink r:id="rId21">
        <w:r>
          <w:rPr>
            <w:color w:val="235B78"/>
            <w:u w:val="single"/>
          </w:rPr>
          <w:t>输入媒体清单  四张实际照片与原视频及哈希</w:t>
        </w:r>
      </w:hyperlink>
    </w:p>
    <w:p>
      <w:pPr>
        <w:spacing w:after="80"/>
      </w:pPr>
      <w:hyperlink r:id="rId13">
        <w:r>
          <w:rPr>
            <w:color w:val="235B78"/>
            <w:u w:val="single"/>
          </w:rPr>
          <w:t>原机器人资产  Franka.usd</w:t>
        </w:r>
      </w:hyperlink>
    </w:p>
    <w:p>
      <w:pPr>
        <w:spacing w:after="80"/>
      </w:pPr>
      <w:hyperlink r:id="rId22">
        <w:r>
          <w:rPr>
            <w:color w:val="235B78"/>
            <w:u w:val="single"/>
          </w:rPr>
          <w:t>正式器皿资产  cuvette.usda</w:t>
        </w:r>
      </w:hyperlink>
    </w:p>
    <w:p>
      <w:pPr>
        <w:spacing w:after="80"/>
      </w:pPr>
      <w:hyperlink r:id="rId23">
        <w:r>
          <w:rPr>
            <w:color w:val="235B78"/>
            <w:u w:val="single"/>
          </w:rPr>
          <w:t>不透明器皿调试变体  cuvette_debug.usda</w:t>
        </w:r>
      </w:hyperlink>
    </w:p>
    <w:p>
      <w:pPr>
        <w:spacing w:after="80"/>
      </w:pPr>
      <w:hyperlink r:id="rId11">
        <w:r>
          <w:rPr>
            <w:color w:val="235B78"/>
            <w:u w:val="single"/>
          </w:rPr>
          <w:t>来源架资产  rack.usda</w:t>
        </w:r>
      </w:hyperlink>
    </w:p>
    <w:p>
      <w:pPr>
        <w:spacing w:after="80"/>
      </w:pPr>
      <w:hyperlink r:id="rId12">
        <w:r>
          <w:rPr>
            <w:color w:val="235B78"/>
            <w:u w:val="single"/>
          </w:rPr>
          <w:t>仪器资产  instrument.usda 内含座与邻近槽</w:t>
        </w:r>
      </w:hyperlink>
    </w:p>
    <w:p>
      <w:pPr>
        <w:spacing w:after="80"/>
      </w:pPr>
      <w:hyperlink r:id="rId24">
        <w:r>
          <w:rPr>
            <w:color w:val="235B78"/>
            <w:u w:val="single"/>
          </w:rPr>
          <w:t>历史standard首条实际展开场景  本轮只读解析</w:t>
        </w:r>
      </w:hyperlink>
    </w:p>
    <w:p>
      <w:pPr>
        <w:spacing w:after="80"/>
      </w:pPr>
      <w:hyperlink r:id="rId25">
        <w:r>
          <w:rPr>
            <w:color w:val="235B78"/>
            <w:u w:val="single"/>
          </w:rPr>
          <w:t>历史standard首条有效参数记录</w:t>
        </w:r>
      </w:hyperlink>
    </w:p>
    <w:p>
      <w:pPr>
        <w:spacing w:after="80"/>
      </w:pPr>
      <w:hyperlink r:id="rId26">
        <w:r>
          <w:rPr>
            <w:color w:val="235B78"/>
            <w:u w:val="single"/>
          </w:rPr>
          <w:t>历史源码版本与SHA256  并非全部运行仅使用交付HEAD</w:t>
        </w:r>
      </w:hyperlink>
    </w:p>
    <w:p>
      <w:pPr>
        <w:spacing w:after="80"/>
      </w:pPr>
      <w:hyperlink r:id="rId27">
        <w:r>
          <w:rPr>
            <w:color w:val="235B78"/>
            <w:u w:val="single"/>
          </w:rPr>
          <w:t>历史保存配置  与当前V0语义一致</w:t>
        </w:r>
      </w:hyperlink>
    </w:p>
    <w:p>
      <w:pPr>
        <w:spacing w:after="80"/>
      </w:pPr>
      <w:hyperlink r:id="rId28">
        <w:r>
          <w:rPr>
            <w:color w:val="235B78"/>
            <w:u w:val="single"/>
          </w:rPr>
          <w:t>历史资产重载复位尺寸和底面射线检查</w:t>
        </w:r>
      </w:hyperlink>
    </w:p>
    <w:p>
      <w:pPr>
        <w:spacing w:after="80"/>
      </w:pPr>
      <w:hyperlink r:id="rId29">
        <w:r>
          <w:rPr>
            <w:color w:val="235B78"/>
            <w:u w:val="single"/>
          </w:rPr>
          <w:t>新资产几何清单  Box尺寸与实心外盒惯量说明</w:t>
        </w:r>
      </w:hyperlink>
    </w:p>
    <w:p>
      <w:pPr>
        <w:pStyle w:val="Heading2"/>
      </w:pPr>
      <w:r>
        <w:t>核查结论的适用范围</w:t>
      </w:r>
    </w:p>
    <w:p>
      <w:r>
        <w:rPr>
          <w:b w:val="0"/>
        </w:rPr>
        <w:t>本报告确认V0为图像关系参考下的参数化代理场景，并明确标出继承参数与未知来源。它不把人工估计称为实测，不把旧资产数据称为厂家规格，不把USD写入值称为完整PhysX有效值，也不把此前成功轨迹称为真实模型校准证据。</w:t>
      </w:r>
    </w:p>
    <w:sectPr w:rsidR="00FC693F" w:rsidRPr="0006063C" w:rsidSect="00034616">
      <w:pgSz w:w="11906" w:h="16838"/>
      <w:pgMar w:top="907" w:right="1134" w:bottom="907" w:left="113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LabSim V0 资产核查   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2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60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home/wujing/Desktop/vla/LabSim/demos/lab_cuvette_loading/model.py" TargetMode="External"/><Relationship Id="rId11" Type="http://schemas.openxmlformats.org/officeDocument/2006/relationships/hyperlink" Target="file:///home/wujing/Desktop/vla/LabSim/assets/lab_cuvette_loading/V0/rack.usda" TargetMode="External"/><Relationship Id="rId12" Type="http://schemas.openxmlformats.org/officeDocument/2006/relationships/hyperlink" Target="file:///home/wujing/Desktop/vla/LabSim/assets/lab_cuvette_loading/V0/instrument.usda" TargetMode="External"/><Relationship Id="rId13" Type="http://schemas.openxmlformats.org/officeDocument/2006/relationships/hyperlink" Target="file:///home/wujing/Desktop/vla/LabSim/assets/robots/Franka.usd" TargetMode="External"/><Relationship Id="rId14" Type="http://schemas.openxmlformats.org/officeDocument/2006/relationships/hyperlink" Target="file:///home/wujing/Desktop/vla/LabSim/config/lab_cuvette_loading/V0.yaml" TargetMode="External"/><Relationship Id="rId15" Type="http://schemas.openxmlformats.org/officeDocument/2006/relationships/hyperlink" Target="file:///home/wujing/Desktop/vla/LabSim/demos/lab_cuvette_loading/scene.py" TargetMode="External"/><Relationship Id="rId16" Type="http://schemas.openxmlformats.org/officeDocument/2006/relationships/hyperlink" Target="file:///home/wujing/.codex/attachments/8f370637-cfc3-4223-ad1e-fc2dfcde72d0/%E5%B7%B2%E7%B2%98%E8%B4%B4%E7%9A%84%E6%96%87%E6%9C%AC.txt" TargetMode="External"/><Relationship Id="rId17" Type="http://schemas.openxmlformats.org/officeDocument/2006/relationships/hyperlink" Target="file:///home/wujing/Desktop/vla/LabSim/config/lab_cuvette_loading/parameter_manifest.json" TargetMode="External"/><Relationship Id="rId18" Type="http://schemas.openxmlformats.org/officeDocument/2006/relationships/hyperlink" Target="file:///home/wujing/Desktop/vla/LabSim/demos/lab_cuvette_loading/run.py" TargetMode="External"/><Relationship Id="rId19" Type="http://schemas.openxmlformats.org/officeDocument/2006/relationships/hyperlink" Target="file:///home/wujing/Desktop/vla/LabSim/tasks/lab_cuvette_loading_task.py" TargetMode="External"/><Relationship Id="rId20" Type="http://schemas.openxmlformats.org/officeDocument/2006/relationships/hyperlink" Target="file:///home/wujing/Desktop/vla/LabSim/docs/lab_cuvette_loading/task_spec.md" TargetMode="External"/><Relationship Id="rId21" Type="http://schemas.openxmlformats.org/officeDocument/2006/relationships/hyperlink" Target="file:///home/wujing/Desktop/vla/LabSim/docs/lab_cuvette_loading/source_media_manifest.json" TargetMode="External"/><Relationship Id="rId22" Type="http://schemas.openxmlformats.org/officeDocument/2006/relationships/hyperlink" Target="file:///home/wujing/Desktop/vla/LabSim/assets/lab_cuvette_loading/V0/cuvette.usda" TargetMode="External"/><Relationship Id="rId23" Type="http://schemas.openxmlformats.org/officeDocument/2006/relationships/hyperlink" Target="file:///home/wujing/Desktop/vla/LabSim/assets/lab_cuvette_loading/V0/cuvette_debug.usda" TargetMode="External"/><Relationship Id="rId24" Type="http://schemas.openxmlformats.org/officeDocument/2006/relationships/hyperlink" Target="file:///home/wujing/Desktop/vla/LabSim/outputs/lab_cuvette_loading/standard10_verified_V0/episode_0000_scene.usda" TargetMode="External"/><Relationship Id="rId25" Type="http://schemas.openxmlformats.org/officeDocument/2006/relationships/hyperlink" Target="file:///home/wujing/Desktop/vla/LabSim/outputs/lab_cuvette_loading/standard10_verified_V0/episode_0000_effective.json" TargetMode="External"/><Relationship Id="rId26" Type="http://schemas.openxmlformats.org/officeDocument/2006/relationships/hyperlink" Target="file:///home/wujing/Desktop/vla/LabSim/outputs/lab_cuvette_loading/standard10_verified_V0/attempt_0000/version.json" TargetMode="External"/><Relationship Id="rId27" Type="http://schemas.openxmlformats.org/officeDocument/2006/relationships/hyperlink" Target="file:///home/wujing/Desktop/vla/LabSim/outputs/lab_cuvette_loading/standard10_verified_V0/config.yaml" TargetMode="External"/><Relationship Id="rId28" Type="http://schemas.openxmlformats.org/officeDocument/2006/relationships/hyperlink" Target="file:///home/wujing/Desktop/vla/LabSim/outputs/lab_cuvette_loading/usd_reload_check.json" TargetMode="External"/><Relationship Id="rId29" Type="http://schemas.openxmlformats.org/officeDocument/2006/relationships/hyperlink" Target="file:///home/wujing/Desktop/vla/LabSim/assets/lab_cuvette_loading/V0/geometry_manifes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器皿装载 V0 资产创建依据核查报告</dc:title>
  <dc:subject>资产生成方法 参数来源 碰撞表示 运行时覆盖 原始指令及未知项</dc:subject>
  <dc:creator>LabSim 资产核查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