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Atomx 面向北京光源与未来产业的可验证谱学科学智能体</w:t>
      </w:r>
    </w:p>
    <w:p>
      <w:r>
        <w:t>项目主题：北京光源与未来产业</w:t>
      </w:r>
    </w:p>
    <w:p>
      <w:r>
        <w:t>项目方向：Agentic Science、第一性原理谱学、科学计算复现与误差诊断</w:t>
      </w:r>
    </w:p>
    <w:p>
      <w:r>
        <w:t>版本日期：2026 年 10 月 6 日</w:t>
      </w:r>
    </w:p>
    <w:p>
      <w:r>
        <w:t>成果状态：已完成 Ne 三电子体系的有限模型判别实验与独立重放；材料谱学应用进入方案设计阶段。</w:t>
      </w:r>
    </w:p>
    <w:p>
      <w:pPr>
        <w:pStyle w:val="Heading1"/>
      </w:pPr>
      <w:r>
        <w:t>项目摘要</w:t>
      </w:r>
    </w:p>
    <w:p>
      <w:r>
        <w:t>先进光源能够提供高质量实验数据，但从一条谱线或一组吸收谱到可靠的科学结论，还需要回答三个问题：计算中的物理因素是否完整，模拟与实验是否采用相同的可观测量，以及出现偏差后应当先检验什么。Atomx 将这些问题组织成科学智能体可以执行、评审可以复核的研究流程：建立竞争假设，预先声明判别计算及验收门限，调用物理求解器，独立验证原算符与态身份，保存失败证据，再更新结论与下一步实验。</w:t>
      </w:r>
    </w:p>
    <w:p>
      <w:r>
        <w:t>项目已有可核验案例。针对 Li-like Ne 的 q/r 两条芯激发谱线，完整扩展高能双激发相关空间后，最新一步使两条跃迁分别上移 5.914650 和 5.874690 meV；仅增加同批单激发的响应约为 0.0146 meV。这直接定位了本次主要共同位移的来源。固定 CI 空间中的 Breit 和 QED 已包含重对角化响应，因而不能再以“少迭代一次”为由重复加入相同修正。复尺度分支虽然出现角度稳定的共振候选，相关扩展仍使谱位移动 31–32 meV，系统因此保留物理极点尚未认证的结论。最新实空间谱位相对各自实验仍偏低 8.896190 和 13.881082 meV，完整物理收敛没有完成。</w:t>
      </w:r>
    </w:p>
    <w:p>
      <w:r>
        <w:t>面向北京光源，项目将这套方法扩展为谱学研究服务：追踪数据与计算来源，区分物理模型误差、能量零点、归一化、仪器展宽与样品差异，并选择最有判别力的后续计算。首个拟议应用是新能源材料的 XANES 谱域映射与偏差诊断，随后评估催化材料和半导体材料。Ne 案例承担可控物理基准的作用；材料环境、固体屏蔽和实际线站数据需要独立验证。</w:t>
      </w:r>
    </w:p>
    <w:p>
      <w:r>
        <w:t>竞赛展示的核心贡献是可复核的科学判断：既给出哪些因素已被直接测量，也明确哪些结论尚不成立。现有数值证据、原始失败与来源索引随文档提供；完整物理源码与矩阵保存在独立封存记录中。</w:t>
      </w:r>
    </w:p>
    <w:p>
      <w:pPr>
        <w:pStyle w:val="Heading1"/>
      </w:pPr>
      <w:r>
        <w:t>北京光源的研究场景</w:t>
      </w:r>
    </w:p>
    <w:p>
      <w:pPr>
        <w:pStyle w:val="Heading2"/>
      </w:pPr>
      <w:r>
        <w:t>光源能力与产业问题</w:t>
      </w:r>
    </w:p>
    <w:p>
      <w:r>
        <w:t>北京怀柔的高能同步辐射光源 HEPS 采用 6 GeV 储存环，首期建设 14 条公共线站。6 GeV 是储存环电子能量，并非单个实验的入射光子能量。高能所的谱学线站资料列出了核共振散射、X 射线拉曼散射和共振非弹性散射等方法，面向芯能级与价电子激发研究。</w:t>
      </w:r>
      <w:hyperlink r:id="rId9">
        <w:r>
          <w:rPr>
            <w:color w:val="24648B"/>
          </w:rPr>
          <w:t>HEPS 装置介绍</w:t>
        </w:r>
      </w:hyperlink>
      <w:r>
        <w:t>、</w:t>
      </w:r>
      <w:hyperlink r:id="rId10">
        <w:r>
          <w:rPr>
            <w:color w:val="24648B"/>
          </w:rPr>
          <w:t>高能量分辨谱学线站介绍</w:t>
        </w:r>
      </w:hyperlink>
    </w:p>
    <w:p>
      <w:r>
        <w:t>北京市投资促进服务局 2026 年 7 月公布的材料，将 HEPS 与新能源新材料、芯片半导体、商业航天、生物医药的产业对接联系起来，并介绍了智慧光源的数据、算力和应用验证建设方向。本项目据此选择能源材料谱学作为首个应用场景；企业合作和线站接入需在后续试点中落实。</w:t>
      </w:r>
      <w:hyperlink r:id="rId11">
        <w:r>
          <w:rPr>
            <w:color w:val="24648B"/>
          </w:rPr>
          <w:t>怀柔科学城科技与产业融合活动</w:t>
        </w:r>
      </w:hyperlink>
    </w:p>
    <w:p>
      <w:r>
        <w:t>企业和研究人员面对的实际问题往往不是“能否计算一条曲线”，而是“这条曲线能否支持下一步决策”。例如，电极材料的谱形变化可能与局域电子态有关，也可能来自归一化、能量对齐、展宽或样品混合。没有能够区分这些解释的对照，曲线接近实验并不足以确立机理。</w:t>
      </w:r>
    </w:p>
    <w:p>
      <w:r>
        <w:t>项目拟提供的服务是：把每个解释转化为明确干预，列出该干预应当改变的量，计算后检查变化是否符合预测，并将支持程度与适用范围一同交付。线站人员负责实验条件和数据质量，领域研究人员负责材料问题与物理解释，智能体负责计算组织、对照设计和证据维护。</w:t>
      </w:r>
    </w:p>
    <w:p>
      <w:pPr>
        <w:pStyle w:val="Heading2"/>
      </w:pPr>
      <w:r>
        <w:t>原子基准与材料应用的关系</w:t>
      </w:r>
    </w:p>
    <w:p>
      <w:r>
        <w:t>当前 Ne 基准的光子能量约为 908 eV，属于软 X 射线能区。它验证的是少电子原子体系中的差分相关、相对论算符和开放共振诊断，不能直接证明 HEPS 硬 X 射线材料谱学的计算精度，也不能作为已验证的线站能量校准标准。</w:t>
      </w:r>
    </w:p>
    <w:p>
      <w:r>
        <w:t>可迁移的是研究方法与证据结构：同条件对照、完整物理空间控制、表示约定核验、失败保留以及结论的范围限制。迁移到真实材料时，需要增加局域结构、固体环境、屏蔽、温度和实验响应模型，并重新建立验收标准。</w:t>
      </w:r>
    </w:p>
    <w:p>
      <w:r>
        <w:t>平台公开 XAS 题面出现“北京光源”数据来源名称，但该名称本身不能确定数据来自 HEPS 还是北京同步辐射装置 BSRF。实际使用前须依据数据元信息确认设施、线站和测量模式。</w:t>
      </w:r>
      <w:hyperlink r:id="rId12">
        <w:r>
          <w:rPr>
            <w:color w:val="24648B"/>
          </w:rPr>
          <w:t>XAS-Sim2Real 公开题面</w:t>
        </w:r>
      </w:hyperlink>
    </w:p>
    <w:p>
      <w:pPr>
        <w:pStyle w:val="Heading1"/>
      </w:pPr>
      <w:r>
        <w:t>科学问题与第一性原理</w:t>
      </w:r>
    </w:p>
    <w:p>
      <w:pPr>
        <w:pStyle w:val="Heading2"/>
      </w:pPr>
      <w:r>
        <w:t>研究对象与可观测量</w:t>
      </w:r>
    </w:p>
    <w:p>
      <w:r>
        <w:t>首个验证对象为 Z=10 的 Li-like Ne 三电子体系，基态主组态为 1s²2s，上态主组态为 1s2s2p。对自电离上态，目标跃迁能量为：</w:t>
      </w:r>
    </w:p>
    <w:p>
      <w:pPr>
        <w:spacing w:line="276" w:lineRule="auto"/>
      </w:pPr>
      <w:r>
        <w:rPr>
          <w:sz w:val="16"/>
        </w:rPr>
        <w:t>Eγ = Re(Eres) − Eg</w:t>
        <w:br/>
        <w:t>Eres = Er − iΓ/2</w:t>
        <w:br/>
        <w:t>δEγ = δEu − δEg</w:t>
      </w:r>
    </w:p>
    <w:p>
      <w:r>
        <w:t>这里的 Γ 为所采用电子 Hamiltonian 描述的自电离宽度。完整自然线宽还可能需要辐射衰变等贡献，实验拟合宽度还包含仪器和样品响应。实空间有限 CI 给出的能量差与经过认证的共振极点能量差是不同完成阶段。</w:t>
      </w:r>
    </w:p>
    <w:p>
      <w:r>
        <w:t>生产模型采用有限核、冻结 Dirac–Fock 轨道和正能电子投影，Hamiltonian 包含 Dirac–Coulomb、完整静态 Breit、模型 QED、正常质量反冲和特殊质量反冲。项目检验的是该模型内的结果与控制，模型 QED 和 no-pair 近似本身也有适用范围。</w:t>
      </w:r>
      <w:hyperlink r:id="rId13">
        <w:r>
          <w:rPr>
            <w:color w:val="24648B"/>
          </w:rPr>
          <w:t>实空间模型与协议</w:t>
        </w:r>
      </w:hyperlink>
    </w:p>
    <w:p>
      <w:r>
        <w:t>研究同时保留两类可观测量：单线谱位反映上下态的能量差，q−r 劈裂中共同基态能量严格抵消。因此，只改变基态无法修复劈裂偏差。两条单线的共同运动和两条线之间的相对运动必须分别分析。</w:t>
      </w:r>
    </w:p>
    <w:p>
      <w:pPr>
        <w:pStyle w:val="Heading2"/>
      </w:pPr>
      <w:r>
        <w:t>相关空间为何改变谱位</w:t>
      </w:r>
    </w:p>
    <w:p>
      <w:r>
        <w:t>将保留组态记为 P，新增组态记为 Q，在 Hermitian 模型中消去 Q 可得：</w:t>
      </w:r>
    </w:p>
    <w:p>
      <w:pPr>
        <w:spacing w:line="276" w:lineRule="auto"/>
      </w:pPr>
      <w:r>
        <w:rPr>
          <w:sz w:val="16"/>
        </w:rPr>
        <w:t>Heff(E) = HPP + HPQ (E − HQQ)⁻¹ HQP</w:t>
        <w:br/>
        <w:t>t = HQP u₀</w:t>
        <w:br/>
        <w:t>Σ(E₀) = t† (E₀ − HQQ)⁻¹ t</w:t>
      </w:r>
    </w:p>
    <w:p>
      <w:r>
        <w:t>若独立验证 Q 的最低本征值高于旧态能量 E₀，这个固定旧态的反馈为负，表示新增闭通道降低态能量。跃迁能量的方向由上态与基态降低量之差决定。基态和上态拥有不同电子对与径向分布，不能假设相关误差相同，也不能将某一态的降低量直接视为跃迁修正。</w:t>
      </w:r>
    </w:p>
    <w:p>
      <w:r>
        <w:t>项目采用完整新增组态和完整耦合 Q 求解，并将反馈预测与实际重对角化比较。电子对坐标分区来自同一个耦合解；这些分区用于定位响应，不能作为彼此独立、任意相加的修正。</w:t>
      </w:r>
    </w:p>
    <w:p>
      <w:pPr>
        <w:pStyle w:val="Heading2"/>
      </w:pPr>
      <w:r>
        <w:t>自洽响应需要区分三个层次</w:t>
      </w:r>
    </w:p>
    <w:p>
      <w:r>
        <w:t>固定轨道与投影时，先在 H₀ 的态上计算一阶期望，再求 H₀+V 的本征值：</w:t>
      </w:r>
    </w:p>
    <w:p>
      <w:pPr>
        <w:spacing w:line="276" w:lineRule="auto"/>
      </w:pPr>
      <w:r>
        <w:rPr>
          <w:sz w:val="16"/>
        </w:rPr>
        <w:t>一阶响应 = ⟨ψ₀|V|ψ₀⟩</w:t>
        <w:br/>
        <w:t>完整开关响应 = E(H₀+V) − E(H₀)</w:t>
        <w:br/>
        <w:t>非线性 CI 响应 = 完整开关响应 − 一阶响应</w:t>
      </w:r>
    </w:p>
    <w:p>
      <w:r>
        <w:t>如果生产 Hamiltonian 已含 V 并完成对角化，这个 CI 系数响应已经包含。将它再次加到最终能量会重复计数。重新优化轨道是另一个干预；改变正能投影又是另一个干预，需要分别固定条件和比较上下态。</w:t>
      </w:r>
    </w:p>
    <w:p>
      <w:r>
        <w:t>在同一一电子投影内，完整 FCI 对轨道的酉旋转具有表示不变性；截断 CI 通常不具有相同闭合性。因此，轨道优化可能改变有限空间的结果，但不能预先将这种变化视作独立于遗漏相关的额外物理项。当前大空间轨道及投影自洽响应尚未独立测量。</w:t>
      </w:r>
    </w:p>
    <w:p>
      <w:pPr>
        <w:pStyle w:val="Heading2"/>
      </w:pPr>
      <w:r>
        <w:t>物理极点为何需要多重控制</w:t>
      </w:r>
    </w:p>
    <w:p>
      <w:r>
        <w:t>复尺度能够将共振问题转化为复能量求解，但负虚部或局部角度平台不足以认证物理极点。求解残差、态身份、束缚锚、开放通道阈值、尺度参数、径向表示及相关空间分别检验不同问题。组态空间变化后，原有认证必须重新检查。</w:t>
      </w:r>
      <w:hyperlink r:id="rId14">
        <w:r>
          <w:rPr>
            <w:color w:val="24648B"/>
          </w:rPr>
          <w:t>复尺度原始方法</w:t>
        </w:r>
      </w:hyperlink>
    </w:p>
    <w:p>
      <w:pPr>
        <w:pStyle w:val="Heading1"/>
      </w:pPr>
      <w:r>
        <w:t>科学智能体的工作方式</w:t>
      </w:r>
    </w:p>
    <w:p>
      <w:pPr>
        <w:pStyle w:val="Heading2"/>
      </w:pPr>
      <w:r>
        <w:t>人与智能体的职责</w:t>
      </w:r>
    </w:p>
    <w:p>
      <w:r>
        <w:t>当前成果由研究人员持续提出科学目标、指定检查方向，Codex agent 组织文献核对、计算控制、脚本执行、独立验证和证据归档。它体现了人指导下的多步骤科学研究能力。全自动无人干预的成功率、成本优势及跨任务泛化能力还需要专门评测。</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参与角色</w:t>
            </w:r>
          </w:p>
        </w:tc>
        <w:tc>
          <w:tcPr>
            <w:tcW w:type="dxa" w:w="3326"/>
          </w:tcPr>
          <w:p>
            <w:pPr>
              <w:spacing w:line="300" w:lineRule="auto"/>
            </w:pPr>
            <w:r>
              <w:rPr>
                <w:b/>
                <w:sz w:val="16"/>
              </w:rPr>
              <w:t>当前职责</w:t>
            </w:r>
          </w:p>
        </w:tc>
        <w:tc>
          <w:tcPr>
            <w:tcW w:type="dxa" w:w="3326"/>
          </w:tcPr>
          <w:p>
            <w:pPr>
              <w:spacing w:line="300" w:lineRule="auto"/>
            </w:pPr>
            <w:r>
              <w:rPr>
                <w:b/>
                <w:sz w:val="16"/>
              </w:rPr>
              <w:t>必须留下的记录</w:t>
            </w:r>
          </w:p>
        </w:tc>
      </w:tr>
      <w:tr>
        <w:trPr>
          <w:cantSplit/>
        </w:trPr>
        <w:tc>
          <w:tcPr>
            <w:tcW w:type="dxa" w:w="3326"/>
          </w:tcPr>
          <w:p>
            <w:pPr>
              <w:spacing w:line="300" w:lineRule="auto"/>
            </w:pPr>
            <w:r>
              <w:rPr>
                <w:b w:val="0"/>
                <w:sz w:val="16"/>
              </w:rPr>
              <w:t>研究人员</w:t>
            </w:r>
          </w:p>
        </w:tc>
        <w:tc>
          <w:tcPr>
            <w:tcW w:type="dxa" w:w="3326"/>
          </w:tcPr>
          <w:p>
            <w:pPr>
              <w:spacing w:line="300" w:lineRule="auto"/>
            </w:pPr>
            <w:r>
              <w:rPr>
                <w:b w:val="0"/>
                <w:sz w:val="16"/>
              </w:rPr>
              <w:t>定义物理目标、决定研究范围与优先方向</w:t>
            </w:r>
          </w:p>
        </w:tc>
        <w:tc>
          <w:tcPr>
            <w:tcW w:type="dxa" w:w="3326"/>
          </w:tcPr>
          <w:p>
            <w:pPr>
              <w:spacing w:line="300" w:lineRule="auto"/>
            </w:pPr>
            <w:r>
              <w:rPr>
                <w:b w:val="0"/>
                <w:sz w:val="16"/>
              </w:rPr>
              <w:t>用户目标、约束、方向调整</w:t>
            </w:r>
          </w:p>
        </w:tc>
      </w:tr>
      <w:tr>
        <w:trPr>
          <w:cantSplit/>
        </w:trPr>
        <w:tc>
          <w:tcPr>
            <w:tcW w:type="dxa" w:w="3326"/>
          </w:tcPr>
          <w:p>
            <w:pPr>
              <w:spacing w:line="300" w:lineRule="auto"/>
            </w:pPr>
            <w:r>
              <w:rPr>
                <w:b w:val="0"/>
                <w:sz w:val="16"/>
              </w:rPr>
              <w:t>科学智能体</w:t>
            </w:r>
          </w:p>
        </w:tc>
        <w:tc>
          <w:tcPr>
            <w:tcW w:type="dxa" w:w="3326"/>
          </w:tcPr>
          <w:p>
            <w:pPr>
              <w:spacing w:line="300" w:lineRule="auto"/>
            </w:pPr>
            <w:r>
              <w:rPr>
                <w:b w:val="0"/>
                <w:sz w:val="16"/>
              </w:rPr>
              <w:t>提出竞争假设、设计干预、调用工具、检查证据、更新结论</w:t>
            </w:r>
          </w:p>
        </w:tc>
        <w:tc>
          <w:tcPr>
            <w:tcW w:type="dxa" w:w="3326"/>
          </w:tcPr>
          <w:p>
            <w:pPr>
              <w:spacing w:line="300" w:lineRule="auto"/>
            </w:pPr>
            <w:r>
              <w:rPr>
                <w:b w:val="0"/>
                <w:sz w:val="16"/>
              </w:rPr>
              <w:t>假设、测前协议、调用结果、失败与后续决定</w:t>
            </w:r>
          </w:p>
        </w:tc>
      </w:tr>
      <w:tr>
        <w:trPr>
          <w:cantSplit/>
        </w:trPr>
        <w:tc>
          <w:tcPr>
            <w:tcW w:type="dxa" w:w="3326"/>
          </w:tcPr>
          <w:p>
            <w:pPr>
              <w:spacing w:line="300" w:lineRule="auto"/>
            </w:pPr>
            <w:r>
              <w:rPr>
                <w:b w:val="0"/>
                <w:sz w:val="16"/>
              </w:rPr>
              <w:t>物理求解器</w:t>
            </w:r>
          </w:p>
        </w:tc>
        <w:tc>
          <w:tcPr>
            <w:tcW w:type="dxa" w:w="3326"/>
          </w:tcPr>
          <w:p>
            <w:pPr>
              <w:spacing w:line="300" w:lineRule="auto"/>
            </w:pPr>
            <w:r>
              <w:rPr>
                <w:b w:val="0"/>
                <w:sz w:val="16"/>
              </w:rPr>
              <w:t>装配 Hamiltonian，完成实空间与复空间求解</w:t>
            </w:r>
          </w:p>
        </w:tc>
        <w:tc>
          <w:tcPr>
            <w:tcW w:type="dxa" w:w="3326"/>
          </w:tcPr>
          <w:p>
            <w:pPr>
              <w:spacing w:line="300" w:lineRule="auto"/>
            </w:pPr>
            <w:r>
              <w:rPr>
                <w:b w:val="0"/>
                <w:sz w:val="16"/>
              </w:rPr>
              <w:t>模型、基底、矩阵、能量、向量、残差</w:t>
            </w:r>
          </w:p>
        </w:tc>
      </w:tr>
      <w:tr>
        <w:trPr>
          <w:cantSplit/>
        </w:trPr>
        <w:tc>
          <w:tcPr>
            <w:tcW w:type="dxa" w:w="3326"/>
          </w:tcPr>
          <w:p>
            <w:pPr>
              <w:spacing w:line="300" w:lineRule="auto"/>
            </w:pPr>
            <w:r>
              <w:rPr>
                <w:b w:val="0"/>
                <w:sz w:val="16"/>
              </w:rPr>
              <w:t>独立验证程序</w:t>
            </w:r>
          </w:p>
        </w:tc>
        <w:tc>
          <w:tcPr>
            <w:tcW w:type="dxa" w:w="3326"/>
          </w:tcPr>
          <w:p>
            <w:pPr>
              <w:spacing w:line="300" w:lineRule="auto"/>
            </w:pPr>
            <w:r>
              <w:rPr>
                <w:b w:val="0"/>
                <w:sz w:val="16"/>
              </w:rPr>
              <w:t>重放原算符、检查完整键和符号、计算反馈与账本</w:t>
            </w:r>
          </w:p>
        </w:tc>
        <w:tc>
          <w:tcPr>
            <w:tcW w:type="dxa" w:w="3326"/>
          </w:tcPr>
          <w:p>
            <w:pPr>
              <w:spacing w:line="300" w:lineRule="auto"/>
            </w:pPr>
            <w:r>
              <w:rPr>
                <w:b w:val="0"/>
                <w:sz w:val="16"/>
              </w:rPr>
              <w:t>独立控制结果、输入及源码哈希</w:t>
            </w:r>
          </w:p>
        </w:tc>
      </w:tr>
      <w:tr>
        <w:trPr>
          <w:cantSplit/>
        </w:trPr>
        <w:tc>
          <w:tcPr>
            <w:tcW w:type="dxa" w:w="3326"/>
          </w:tcPr>
          <w:p>
            <w:pPr>
              <w:spacing w:line="300" w:lineRule="auto"/>
            </w:pPr>
            <w:r>
              <w:rPr>
                <w:b w:val="0"/>
                <w:sz w:val="16"/>
              </w:rPr>
              <w:t>领域评审</w:t>
            </w:r>
          </w:p>
        </w:tc>
        <w:tc>
          <w:tcPr>
            <w:tcW w:type="dxa" w:w="3326"/>
          </w:tcPr>
          <w:p>
            <w:pPr>
              <w:spacing w:line="300" w:lineRule="auto"/>
            </w:pPr>
            <w:r>
              <w:rPr>
                <w:b w:val="0"/>
                <w:sz w:val="16"/>
              </w:rPr>
              <w:t>判断模型与结论是否适用于实验问题</w:t>
            </w:r>
          </w:p>
        </w:tc>
        <w:tc>
          <w:tcPr>
            <w:tcW w:type="dxa" w:w="3326"/>
          </w:tcPr>
          <w:p>
            <w:pPr>
              <w:spacing w:line="300" w:lineRule="auto"/>
            </w:pPr>
            <w:r>
              <w:rPr>
                <w:b w:val="0"/>
                <w:sz w:val="16"/>
              </w:rPr>
              <w:t>适用条件、接受或保留的理由</w:t>
            </w:r>
          </w:p>
        </w:tc>
      </w:tr>
    </w:tbl>
    <w:p>
      <w:pPr>
        <w:pStyle w:val="Heading2"/>
      </w:pPr>
      <w:r>
        <w:t>从偏差到判别计算</w:t>
      </w:r>
    </w:p>
    <w:p>
      <w:r>
        <w:t>每次研究迭代按以下顺序执行：</w:t>
      </w:r>
    </w:p>
    <w:p>
      <w:pPr>
        <w:pStyle w:val="ListNumber"/>
      </w:pPr>
      <w:r>
        <w:rPr>
          <w:b/>
        </w:rPr>
        <w:t>定义目标。</w:t>
      </w:r>
      <w:r>
        <w:t xml:space="preserve"> 固定要比较的态、可观测量、单位、核模型、投影和实验估计量。</w:t>
      </w:r>
    </w:p>
    <w:p>
      <w:pPr>
        <w:pStyle w:val="ListNumber"/>
      </w:pPr>
      <w:r>
        <w:rPr>
          <w:b/>
        </w:rPr>
        <w:t>提出解释。</w:t>
      </w:r>
      <w:r>
        <w:t xml:space="preserve"> 例如相关尾部不足、Breit 约定不一致、遗漏响应或复空间表示异常。</w:t>
      </w:r>
    </w:p>
    <w:p>
      <w:pPr>
        <w:pStyle w:val="ListNumber"/>
      </w:pPr>
      <w:r>
        <w:rPr>
          <w:b/>
        </w:rPr>
        <w:t>选择干预。</w:t>
      </w:r>
      <w:r>
        <w:t xml:space="preserve"> 优先执行能够区分解释的最小完整控制，而不是同时改变多个因素。</w:t>
      </w:r>
    </w:p>
    <w:p>
      <w:pPr>
        <w:pStyle w:val="ListNumber"/>
      </w:pPr>
      <w:r>
        <w:rPr>
          <w:b/>
        </w:rPr>
        <w:t>预声明。</w:t>
      </w:r>
      <w:r>
        <w:t xml:space="preserve"> 保存固定条件、候选空间规模、资源上限、通过条件、失败条件和停止规则。</w:t>
      </w:r>
    </w:p>
    <w:p>
      <w:pPr>
        <w:pStyle w:val="ListNumber"/>
      </w:pPr>
      <w:r>
        <w:rPr>
          <w:b/>
        </w:rPr>
        <w:t>计算和验证。</w:t>
      </w:r>
      <w:r>
        <w:t xml:space="preserve"> 保存生产结果，并独立检查原算符残差、态身份、符号及各态响应。</w:t>
      </w:r>
    </w:p>
    <w:p>
      <w:pPr>
        <w:pStyle w:val="ListNumber"/>
      </w:pPr>
      <w:r>
        <w:rPr>
          <w:b/>
        </w:rPr>
        <w:t>更新证据。</w:t>
      </w:r>
      <w:r>
        <w:t xml:space="preserve"> 区分测量、条件估算、支持的解释和仍未确定的归因。</w:t>
      </w:r>
    </w:p>
    <w:p>
      <w:pPr>
        <w:pStyle w:val="ListNumber"/>
      </w:pPr>
      <w:r>
        <w:rPr>
          <w:b/>
        </w:rPr>
        <w:t>决定下一步。</w:t>
      </w:r>
      <w:r>
        <w:t xml:space="preserve"> 通过门限后才扩大结论；失败则保留原件，并声明新的判别实验。</w:t>
      </w:r>
    </w:p>
    <w:p>
      <w:r>
        <w:drawing>
          <wp:inline xmlns:a="http://schemas.openxmlformats.org/drawingml/2006/main" xmlns:pic="http://schemas.openxmlformats.org/drawingml/2006/picture">
            <wp:extent cx="6228000" cy="1868400"/>
            <wp:docPr id="1" name="Picture 1"/>
            <wp:cNvGraphicFramePr>
              <a:graphicFrameLocks noChangeAspect="1"/>
            </wp:cNvGraphicFramePr>
            <a:graphic>
              <a:graphicData uri="http://schemas.openxmlformats.org/drawingml/2006/picture">
                <pic:pic>
                  <pic:nvPicPr>
                    <pic:cNvPr id="0" name="agent_workflow.png"/>
                    <pic:cNvPicPr/>
                  </pic:nvPicPr>
                  <pic:blipFill>
                    <a:blip r:embed="rId15"/>
                    <a:stretch>
                      <a:fillRect/>
                    </a:stretch>
                  </pic:blipFill>
                  <pic:spPr>
                    <a:xfrm>
                      <a:off x="0" y="0"/>
                      <a:ext cx="6228000" cy="1868400"/>
                    </a:xfrm>
                    <a:prstGeom prst="rect"/>
                  </pic:spPr>
                </pic:pic>
              </a:graphicData>
            </a:graphic>
          </wp:inline>
        </w:drawing>
      </w:r>
    </w:p>
    <w:p>
      <w:r>
        <w:t>科学智能体研究流程</w:t>
      </w:r>
    </w:p>
    <w:p>
      <w:r>
        <w:t>这一流程允许智能体给出“计算求解准确，但物理空间未收敛”的结论。失败不是需要隐藏的输出，而是下一次实验设计的输入。</w:t>
      </w:r>
    </w:p>
    <w:p>
      <w:pPr>
        <w:pStyle w:val="Heading2"/>
      </w:pPr>
      <w:r>
        <w:t>假设选择与停止规则</w:t>
      </w:r>
    </w:p>
    <w:p>
      <w:r>
        <w:t>拟议任务调度优先考虑三个条件：该计算能否区分当前解释，是否保持模型与可观测量匹配，以及是否在资源预算内可完整执行。不能仅按可能接近实验的程度选择计算。</w:t>
      </w:r>
    </w:p>
    <w:p>
      <w:r>
        <w:t>遇到态身份丢失、算符范围不支持、残差失败或资源不足时，停止对应结论。扩大资源须保留原尝试；改变模型须启动新的协议。未经计算的空间只标记为未完成，不能用外推值填入最终谱位。</w:t>
      </w:r>
    </w:p>
    <w:p>
      <w:pPr>
        <w:pStyle w:val="Heading1"/>
      </w:pPr>
      <w:r>
        <w:t>已完成的科学验证</w:t>
      </w:r>
    </w:p>
    <w:p>
      <w:pPr>
        <w:pStyle w:val="Heading2"/>
      </w:pPr>
      <w:r>
        <w:t>高能双激发相关产生主要共同位移</w:t>
      </w:r>
    </w:p>
    <w:p>
      <w:r>
        <w:t>以下截止是</w:t>
      </w:r>
      <w:r>
        <w:rPr>
          <w:b/>
        </w:rPr>
        <w:t>正能虚轨道的电子能量截止</w:t>
      </w:r>
      <w:r>
        <w:t>，单位为 Hartree；不是光源入射光子能量。</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完整截止扩展</w:t>
            </w:r>
          </w:p>
        </w:tc>
        <w:tc>
          <w:tcPr>
            <w:tcW w:type="dxa" w:w="3326"/>
          </w:tcPr>
          <w:p>
            <w:pPr>
              <w:spacing w:line="300" w:lineRule="auto"/>
            </w:pPr>
            <w:r>
              <w:rPr>
                <w:b/>
                <w:sz w:val="16"/>
              </w:rPr>
              <w:t>q 跃迁增量 meV</w:t>
            </w:r>
          </w:p>
        </w:tc>
        <w:tc>
          <w:tcPr>
            <w:tcW w:type="dxa" w:w="3326"/>
          </w:tcPr>
          <w:p>
            <w:pPr>
              <w:spacing w:line="300" w:lineRule="auto"/>
            </w:pPr>
            <w:r>
              <w:rPr>
                <w:b/>
                <w:sz w:val="16"/>
              </w:rPr>
              <w:t>r 跃迁增量 meV</w:t>
            </w:r>
          </w:p>
        </w:tc>
      </w:tr>
      <w:tr>
        <w:trPr>
          <w:cantSplit/>
        </w:trPr>
        <w:tc>
          <w:tcPr>
            <w:tcW w:type="dxa" w:w="3326"/>
          </w:tcPr>
          <w:p>
            <w:pPr>
              <w:spacing w:line="300" w:lineRule="auto"/>
            </w:pPr>
            <w:r>
              <w:rPr>
                <w:b w:val="0"/>
                <w:sz w:val="16"/>
              </w:rPr>
              <w:t>200 → 400 Ha</w:t>
            </w:r>
          </w:p>
        </w:tc>
        <w:tc>
          <w:tcPr>
            <w:tcW w:type="dxa" w:w="3326"/>
          </w:tcPr>
          <w:p>
            <w:pPr>
              <w:spacing w:line="300" w:lineRule="auto"/>
            </w:pPr>
            <w:r>
              <w:rPr>
                <w:b w:val="0"/>
                <w:sz w:val="16"/>
              </w:rPr>
              <w:t>145.986276</w:t>
            </w:r>
          </w:p>
        </w:tc>
        <w:tc>
          <w:tcPr>
            <w:tcW w:type="dxa" w:w="3326"/>
          </w:tcPr>
          <w:p>
            <w:pPr>
              <w:spacing w:line="300" w:lineRule="auto"/>
            </w:pPr>
            <w:r>
              <w:rPr>
                <w:b w:val="0"/>
                <w:sz w:val="16"/>
              </w:rPr>
              <w:t>145.295300</w:t>
            </w:r>
          </w:p>
        </w:tc>
      </w:tr>
      <w:tr>
        <w:trPr>
          <w:cantSplit/>
        </w:trPr>
        <w:tc>
          <w:tcPr>
            <w:tcW w:type="dxa" w:w="3326"/>
          </w:tcPr>
          <w:p>
            <w:pPr>
              <w:spacing w:line="300" w:lineRule="auto"/>
            </w:pPr>
            <w:r>
              <w:rPr>
                <w:b w:val="0"/>
                <w:sz w:val="16"/>
              </w:rPr>
              <w:t>400 → 800 Ha</w:t>
            </w:r>
          </w:p>
        </w:tc>
        <w:tc>
          <w:tcPr>
            <w:tcW w:type="dxa" w:w="3326"/>
          </w:tcPr>
          <w:p>
            <w:pPr>
              <w:spacing w:line="300" w:lineRule="auto"/>
            </w:pPr>
            <w:r>
              <w:rPr>
                <w:b w:val="0"/>
                <w:sz w:val="16"/>
              </w:rPr>
              <w:t>58.311005</w:t>
            </w:r>
          </w:p>
        </w:tc>
        <w:tc>
          <w:tcPr>
            <w:tcW w:type="dxa" w:w="3326"/>
          </w:tcPr>
          <w:p>
            <w:pPr>
              <w:spacing w:line="300" w:lineRule="auto"/>
            </w:pPr>
            <w:r>
              <w:rPr>
                <w:b w:val="0"/>
                <w:sz w:val="16"/>
              </w:rPr>
              <w:t>57.955575</w:t>
            </w:r>
          </w:p>
        </w:tc>
      </w:tr>
      <w:tr>
        <w:trPr>
          <w:cantSplit/>
        </w:trPr>
        <w:tc>
          <w:tcPr>
            <w:tcW w:type="dxa" w:w="3326"/>
          </w:tcPr>
          <w:p>
            <w:pPr>
              <w:spacing w:line="300" w:lineRule="auto"/>
            </w:pPr>
            <w:r>
              <w:rPr>
                <w:b w:val="0"/>
                <w:sz w:val="16"/>
              </w:rPr>
              <w:t>800 → 1600 Ha</w:t>
            </w:r>
          </w:p>
        </w:tc>
        <w:tc>
          <w:tcPr>
            <w:tcW w:type="dxa" w:w="3326"/>
          </w:tcPr>
          <w:p>
            <w:pPr>
              <w:spacing w:line="300" w:lineRule="auto"/>
            </w:pPr>
            <w:r>
              <w:rPr>
                <w:b w:val="0"/>
                <w:sz w:val="16"/>
              </w:rPr>
              <w:t>20.432577</w:t>
            </w:r>
          </w:p>
        </w:tc>
        <w:tc>
          <w:tcPr>
            <w:tcW w:type="dxa" w:w="3326"/>
          </w:tcPr>
          <w:p>
            <w:pPr>
              <w:spacing w:line="300" w:lineRule="auto"/>
            </w:pPr>
            <w:r>
              <w:rPr>
                <w:b w:val="0"/>
                <w:sz w:val="16"/>
              </w:rPr>
              <w:t>20.298738</w:t>
            </w:r>
          </w:p>
        </w:tc>
      </w:tr>
      <w:tr>
        <w:trPr>
          <w:cantSplit/>
        </w:trPr>
        <w:tc>
          <w:tcPr>
            <w:tcW w:type="dxa" w:w="3326"/>
          </w:tcPr>
          <w:p>
            <w:pPr>
              <w:spacing w:line="300" w:lineRule="auto"/>
            </w:pPr>
            <w:r>
              <w:rPr>
                <w:b w:val="0"/>
                <w:sz w:val="16"/>
              </w:rPr>
              <w:t>1600 → 3200 Ha</w:t>
            </w:r>
          </w:p>
        </w:tc>
        <w:tc>
          <w:tcPr>
            <w:tcW w:type="dxa" w:w="3326"/>
          </w:tcPr>
          <w:p>
            <w:pPr>
              <w:spacing w:line="300" w:lineRule="auto"/>
            </w:pPr>
            <w:r>
              <w:rPr>
                <w:b w:val="0"/>
                <w:sz w:val="16"/>
              </w:rPr>
              <w:t>5.914650</w:t>
            </w:r>
          </w:p>
        </w:tc>
        <w:tc>
          <w:tcPr>
            <w:tcW w:type="dxa" w:w="3326"/>
          </w:tcPr>
          <w:p>
            <w:pPr>
              <w:spacing w:line="300" w:lineRule="auto"/>
            </w:pPr>
            <w:r>
              <w:rPr>
                <w:b w:val="0"/>
                <w:sz w:val="16"/>
              </w:rPr>
              <w:t>5.874690</w:t>
            </w:r>
          </w:p>
        </w:tc>
      </w:tr>
    </w:tbl>
    <w:p>
      <w:r>
        <w:t>序列的增量持续减小，但最新一步仍超过预先声明的 1 meV 局部增量门。</w:t>
      </w:r>
      <w:hyperlink r:id="rId16">
        <w:r>
          <w:rPr>
            <w:color w:val="24648B"/>
          </w:rPr>
          <w:t>截止序列与预测检验</w:t>
        </w:r>
      </w:hyperlink>
    </w:p>
    <w:tbl>
      <w:tblPr>
        <w:tblStyle w:val="TableGrid"/>
        <w:tblW w:type="auto" w:w="0"/>
        <w:tblLook w:firstColumn="1" w:firstRow="1" w:lastColumn="0" w:lastRow="0" w:noHBand="0" w:noVBand="1" w:val="04A0"/>
      </w:tblPr>
      <w:tblGrid>
        <w:gridCol w:w="2494"/>
        <w:gridCol w:w="2494"/>
        <w:gridCol w:w="2494"/>
        <w:gridCol w:w="2494"/>
      </w:tblGrid>
      <w:tr>
        <w:trPr>
          <w:cantSplit/>
          <w:tblHeader/>
        </w:trPr>
        <w:tc>
          <w:tcPr>
            <w:tcW w:type="dxa" w:w="2494"/>
          </w:tcPr>
          <w:p>
            <w:pPr>
              <w:spacing w:line="300" w:lineRule="auto"/>
            </w:pPr>
            <w:r>
              <w:rPr>
                <w:b/>
                <w:sz w:val="16"/>
              </w:rPr>
              <w:t>最新 1600 → 3200 Ha 的同模型响应</w:t>
            </w:r>
          </w:p>
        </w:tc>
        <w:tc>
          <w:tcPr>
            <w:tcW w:type="dxa" w:w="2494"/>
          </w:tcPr>
          <w:p>
            <w:pPr>
              <w:spacing w:line="300" w:lineRule="auto"/>
            </w:pPr>
            <w:r>
              <w:rPr>
                <w:b/>
                <w:sz w:val="16"/>
              </w:rPr>
              <w:t>g</w:t>
            </w:r>
          </w:p>
        </w:tc>
        <w:tc>
          <w:tcPr>
            <w:tcW w:type="dxa" w:w="2494"/>
          </w:tcPr>
          <w:p>
            <w:pPr>
              <w:spacing w:line="300" w:lineRule="auto"/>
            </w:pPr>
            <w:r>
              <w:rPr>
                <w:b/>
                <w:sz w:val="16"/>
              </w:rPr>
              <w:t>q 上态</w:t>
            </w:r>
          </w:p>
        </w:tc>
        <w:tc>
          <w:tcPr>
            <w:tcW w:type="dxa" w:w="2494"/>
          </w:tcPr>
          <w:p>
            <w:pPr>
              <w:spacing w:line="300" w:lineRule="auto"/>
            </w:pPr>
            <w:r>
              <w:rPr>
                <w:b/>
                <w:sz w:val="16"/>
              </w:rPr>
              <w:t>r 上态</w:t>
            </w:r>
          </w:p>
        </w:tc>
      </w:tr>
      <w:tr>
        <w:trPr>
          <w:cantSplit/>
        </w:trPr>
        <w:tc>
          <w:tcPr>
            <w:tcW w:type="dxa" w:w="2494"/>
          </w:tcPr>
          <w:p>
            <w:pPr>
              <w:spacing w:line="300" w:lineRule="auto"/>
            </w:pPr>
            <w:r>
              <w:rPr>
                <w:b w:val="0"/>
                <w:sz w:val="16"/>
              </w:rPr>
              <w:t>实际态能量增量 meV</w:t>
            </w:r>
          </w:p>
        </w:tc>
        <w:tc>
          <w:tcPr>
            <w:tcW w:type="dxa" w:w="2494"/>
          </w:tcPr>
          <w:p>
            <w:pPr>
              <w:spacing w:line="300" w:lineRule="auto"/>
            </w:pPr>
            <w:r>
              <w:rPr>
                <w:b w:val="0"/>
                <w:sz w:val="16"/>
              </w:rPr>
              <w:t>−6.631082</w:t>
            </w:r>
          </w:p>
        </w:tc>
        <w:tc>
          <w:tcPr>
            <w:tcW w:type="dxa" w:w="2494"/>
          </w:tcPr>
          <w:p>
            <w:pPr>
              <w:spacing w:line="300" w:lineRule="auto"/>
            </w:pPr>
            <w:r>
              <w:rPr>
                <w:b w:val="0"/>
                <w:sz w:val="16"/>
              </w:rPr>
              <w:t>−0.716432</w:t>
            </w:r>
          </w:p>
        </w:tc>
        <w:tc>
          <w:tcPr>
            <w:tcW w:type="dxa" w:w="2494"/>
          </w:tcPr>
          <w:p>
            <w:pPr>
              <w:spacing w:line="300" w:lineRule="auto"/>
            </w:pPr>
            <w:r>
              <w:rPr>
                <w:b w:val="0"/>
                <w:sz w:val="16"/>
              </w:rPr>
              <w:t>−0.756392</w:t>
            </w:r>
          </w:p>
        </w:tc>
      </w:tr>
      <w:tr>
        <w:trPr>
          <w:cantSplit/>
        </w:trPr>
        <w:tc>
          <w:tcPr>
            <w:tcW w:type="dxa" w:w="2494"/>
          </w:tcPr>
          <w:p>
            <w:pPr>
              <w:spacing w:line="300" w:lineRule="auto"/>
            </w:pPr>
            <w:r>
              <w:rPr>
                <w:b w:val="0"/>
                <w:sz w:val="16"/>
              </w:rPr>
              <w:t>固定旧态的完整 Q 反馈 meV</w:t>
            </w:r>
          </w:p>
        </w:tc>
        <w:tc>
          <w:tcPr>
            <w:tcW w:type="dxa" w:w="2494"/>
          </w:tcPr>
          <w:p>
            <w:pPr>
              <w:spacing w:line="300" w:lineRule="auto"/>
            </w:pPr>
            <w:r>
              <w:rPr>
                <w:b w:val="0"/>
                <w:sz w:val="16"/>
              </w:rPr>
              <w:t>−6.630787</w:t>
            </w:r>
          </w:p>
        </w:tc>
        <w:tc>
          <w:tcPr>
            <w:tcW w:type="dxa" w:w="2494"/>
          </w:tcPr>
          <w:p>
            <w:pPr>
              <w:spacing w:line="300" w:lineRule="auto"/>
            </w:pPr>
            <w:r>
              <w:rPr>
                <w:b w:val="0"/>
                <w:sz w:val="16"/>
              </w:rPr>
              <w:t>−0.716340</w:t>
            </w:r>
          </w:p>
        </w:tc>
        <w:tc>
          <w:tcPr>
            <w:tcW w:type="dxa" w:w="2494"/>
          </w:tcPr>
          <w:p>
            <w:pPr>
              <w:spacing w:line="300" w:lineRule="auto"/>
            </w:pPr>
            <w:r>
              <w:rPr>
                <w:b w:val="0"/>
                <w:sz w:val="16"/>
              </w:rPr>
              <w:t>−0.756300</w:t>
            </w:r>
          </w:p>
        </w:tc>
      </w:tr>
      <w:tr>
        <w:trPr>
          <w:cantSplit/>
        </w:trPr>
        <w:tc>
          <w:tcPr>
            <w:tcW w:type="dxa" w:w="2494"/>
          </w:tcPr>
          <w:p>
            <w:pPr>
              <w:spacing w:line="300" w:lineRule="auto"/>
            </w:pPr>
            <w:r>
              <w:rPr>
                <w:b w:val="0"/>
                <w:sz w:val="16"/>
              </w:rPr>
              <w:t>完整 Q 正谱隙 Ha</w:t>
            </w:r>
          </w:p>
        </w:tc>
        <w:tc>
          <w:tcPr>
            <w:tcW w:type="dxa" w:w="2494"/>
          </w:tcPr>
          <w:p>
            <w:pPr>
              <w:spacing w:line="300" w:lineRule="auto"/>
            </w:pPr>
            <w:r>
              <w:rPr>
                <w:b w:val="0"/>
                <w:sz w:val="16"/>
              </w:rPr>
              <w:t>1640.391826</w:t>
            </w:r>
          </w:p>
        </w:tc>
        <w:tc>
          <w:tcPr>
            <w:tcW w:type="dxa" w:w="2494"/>
          </w:tcPr>
          <w:p>
            <w:pPr>
              <w:spacing w:line="300" w:lineRule="auto"/>
            </w:pPr>
            <w:r>
              <w:rPr>
                <w:b w:val="0"/>
                <w:sz w:val="16"/>
              </w:rPr>
              <w:t>1577.167255</w:t>
            </w:r>
          </w:p>
        </w:tc>
        <w:tc>
          <w:tcPr>
            <w:tcW w:type="dxa" w:w="2494"/>
          </w:tcPr>
          <w:p>
            <w:pPr>
              <w:spacing w:line="300" w:lineRule="auto"/>
            </w:pPr>
            <w:r>
              <w:rPr>
                <w:b w:val="0"/>
                <w:sz w:val="16"/>
              </w:rPr>
              <w:t>1575.785668</w:t>
            </w:r>
          </w:p>
        </w:tc>
      </w:tr>
      <w:tr>
        <w:trPr>
          <w:cantSplit/>
        </w:trPr>
        <w:tc>
          <w:tcPr>
            <w:tcW w:type="dxa" w:w="2494"/>
          </w:tcPr>
          <w:p>
            <w:pPr>
              <w:spacing w:line="300" w:lineRule="auto"/>
            </w:pPr>
            <w:r>
              <w:rPr>
                <w:b w:val="0"/>
                <w:sz w:val="16"/>
              </w:rPr>
              <w:t>原算符绝对残差 Ha</w:t>
            </w:r>
          </w:p>
        </w:tc>
        <w:tc>
          <w:tcPr>
            <w:tcW w:type="dxa" w:w="2494"/>
          </w:tcPr>
          <w:p>
            <w:pPr>
              <w:spacing w:line="300" w:lineRule="auto"/>
            </w:pPr>
            <w:r>
              <w:rPr>
                <w:b w:val="0"/>
                <w:sz w:val="16"/>
              </w:rPr>
              <w:t>2.489×10⁻¹¹</w:t>
            </w:r>
          </w:p>
        </w:tc>
        <w:tc>
          <w:tcPr>
            <w:tcW w:type="dxa" w:w="2494"/>
          </w:tcPr>
          <w:p>
            <w:pPr>
              <w:spacing w:line="300" w:lineRule="auto"/>
            </w:pPr>
            <w:r>
              <w:rPr>
                <w:b w:val="0"/>
                <w:sz w:val="16"/>
              </w:rPr>
              <w:t>7.432×10⁻¹¹</w:t>
            </w:r>
          </w:p>
        </w:tc>
        <w:tc>
          <w:tcPr>
            <w:tcW w:type="dxa" w:w="2494"/>
          </w:tcPr>
          <w:p>
            <w:pPr>
              <w:spacing w:line="300" w:lineRule="auto"/>
            </w:pPr>
            <w:r>
              <w:rPr>
                <w:b w:val="0"/>
                <w:sz w:val="16"/>
              </w:rPr>
              <w:t>2.380×10⁻¹¹</w:t>
            </w:r>
          </w:p>
        </w:tc>
      </w:tr>
    </w:tbl>
    <w:p>
      <w:r>
        <w:t>各态新增 Q 的正谱隙和负反馈已独立核验。基态能量下降更多，因而两条跃迁上移。反馈预测与实际跃迁增量之差约为 −0.000203 meV，支持本次有限空间干预的差分相关解释。</w:t>
      </w:r>
      <w:hyperlink r:id="rId17">
        <w:r>
          <w:rPr>
            <w:color w:val="24648B"/>
          </w:rPr>
          <w:t>三态结果</w:t>
        </w:r>
      </w:hyperlink>
      <w:r>
        <w:t>、</w:t>
      </w:r>
      <w:hyperlink r:id="rId18">
        <w:r>
          <w:rPr>
            <w:color w:val="24648B"/>
          </w:rPr>
          <w:t>独立验证</w:t>
        </w:r>
      </w:hyperlink>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同批新增组态对照</w:t>
            </w:r>
          </w:p>
        </w:tc>
        <w:tc>
          <w:tcPr>
            <w:tcW w:type="dxa" w:w="3326"/>
          </w:tcPr>
          <w:p>
            <w:pPr>
              <w:spacing w:line="300" w:lineRule="auto"/>
            </w:pPr>
            <w:r>
              <w:rPr>
                <w:b/>
                <w:sz w:val="16"/>
              </w:rPr>
              <w:t>q 跃迁增量 meV</w:t>
            </w:r>
          </w:p>
        </w:tc>
        <w:tc>
          <w:tcPr>
            <w:tcW w:type="dxa" w:w="3326"/>
          </w:tcPr>
          <w:p>
            <w:pPr>
              <w:spacing w:line="300" w:lineRule="auto"/>
            </w:pPr>
            <w:r>
              <w:rPr>
                <w:b/>
                <w:sz w:val="16"/>
              </w:rPr>
              <w:t>r 跃迁增量 meV</w:t>
            </w:r>
          </w:p>
        </w:tc>
      </w:tr>
      <w:tr>
        <w:trPr>
          <w:cantSplit/>
        </w:trPr>
        <w:tc>
          <w:tcPr>
            <w:tcW w:type="dxa" w:w="3326"/>
          </w:tcPr>
          <w:p>
            <w:pPr>
              <w:spacing w:line="300" w:lineRule="auto"/>
            </w:pPr>
            <w:r>
              <w:rPr>
                <w:b w:val="0"/>
                <w:sz w:val="16"/>
              </w:rPr>
              <w:t>仅补入全部新单激发</w:t>
            </w:r>
          </w:p>
        </w:tc>
        <w:tc>
          <w:tcPr>
            <w:tcW w:type="dxa" w:w="3326"/>
          </w:tcPr>
          <w:p>
            <w:pPr>
              <w:spacing w:line="300" w:lineRule="auto"/>
            </w:pPr>
            <w:r>
              <w:rPr>
                <w:b w:val="0"/>
                <w:sz w:val="16"/>
              </w:rPr>
              <w:t>0.014556</w:t>
            </w:r>
          </w:p>
        </w:tc>
        <w:tc>
          <w:tcPr>
            <w:tcW w:type="dxa" w:w="3326"/>
          </w:tcPr>
          <w:p>
            <w:pPr>
              <w:spacing w:line="300" w:lineRule="auto"/>
            </w:pPr>
            <w:r>
              <w:rPr>
                <w:b w:val="0"/>
                <w:sz w:val="16"/>
              </w:rPr>
              <w:t>0.014465</w:t>
            </w:r>
          </w:p>
        </w:tc>
      </w:tr>
      <w:tr>
        <w:trPr>
          <w:cantSplit/>
        </w:trPr>
        <w:tc>
          <w:tcPr>
            <w:tcW w:type="dxa" w:w="3326"/>
          </w:tcPr>
          <w:p>
            <w:pPr>
              <w:spacing w:line="300" w:lineRule="auto"/>
            </w:pPr>
            <w:r>
              <w:rPr>
                <w:b w:val="0"/>
                <w:sz w:val="16"/>
              </w:rPr>
              <w:t>在该空间继续补入全部新双激发</w:t>
            </w:r>
          </w:p>
        </w:tc>
        <w:tc>
          <w:tcPr>
            <w:tcW w:type="dxa" w:w="3326"/>
          </w:tcPr>
          <w:p>
            <w:pPr>
              <w:spacing w:line="300" w:lineRule="auto"/>
            </w:pPr>
            <w:r>
              <w:rPr>
                <w:b w:val="0"/>
                <w:sz w:val="16"/>
              </w:rPr>
              <w:t>5.900094</w:t>
            </w:r>
          </w:p>
        </w:tc>
        <w:tc>
          <w:tcPr>
            <w:tcW w:type="dxa" w:w="3326"/>
          </w:tcPr>
          <w:p>
            <w:pPr>
              <w:spacing w:line="300" w:lineRule="auto"/>
            </w:pPr>
            <w:r>
              <w:rPr>
                <w:b w:val="0"/>
                <w:sz w:val="16"/>
              </w:rPr>
              <w:t>5.860225</w:t>
            </w:r>
          </w:p>
        </w:tc>
      </w:tr>
    </w:tbl>
    <w:p>
      <w:r>
        <w:t>双激发贡献了本次主要响应。有限 Q 的基态与上态耦合强度平方比约为 9.0–9.5，而有效分母比约为 1.026；这进一步表明本次差分响应主要由耦合强度差异支配。该判断仅适用于已计算的 Q。</w:t>
      </w:r>
      <w:hyperlink r:id="rId19">
        <w:r>
          <w:rPr>
            <w:color w:val="24648B"/>
          </w:rPr>
          <w:t>单激发对照</w:t>
        </w:r>
      </w:hyperlink>
      <w:r>
        <w:t>、</w:t>
      </w:r>
      <w:hyperlink r:id="rId20">
        <w:r>
          <w:rPr>
            <w:color w:val="24648B"/>
          </w:rPr>
          <w:t>反馈尺度分解</w:t>
        </w:r>
      </w:hyperlink>
    </w:p>
    <w:p>
      <w:pPr>
        <w:pStyle w:val="Heading2"/>
      </w:pPr>
      <w:r>
        <w:t>当前谱位与实验比较</w:t>
      </w:r>
    </w:p>
    <w:tbl>
      <w:tblPr>
        <w:tblStyle w:val="TableGrid"/>
        <w:tblW w:type="auto" w:w="0"/>
        <w:tblLook w:firstColumn="1" w:firstRow="1" w:lastColumn="0" w:lastRow="0" w:noHBand="0" w:noVBand="1" w:val="04A0"/>
      </w:tblPr>
      <w:tblGrid>
        <w:gridCol w:w="2494"/>
        <w:gridCol w:w="2494"/>
        <w:gridCol w:w="2494"/>
        <w:gridCol w:w="2494"/>
      </w:tblGrid>
      <w:tr>
        <w:trPr>
          <w:cantSplit/>
          <w:tblHeader/>
        </w:trPr>
        <w:tc>
          <w:tcPr>
            <w:tcW w:type="dxa" w:w="2494"/>
          </w:tcPr>
          <w:p>
            <w:pPr>
              <w:spacing w:line="300" w:lineRule="auto"/>
            </w:pPr>
            <w:r>
              <w:rPr>
                <w:b/>
                <w:sz w:val="16"/>
              </w:rPr>
              <w:t>单独匹配的谱线</w:t>
            </w:r>
          </w:p>
        </w:tc>
        <w:tc>
          <w:tcPr>
            <w:tcW w:type="dxa" w:w="2494"/>
          </w:tcPr>
          <w:p>
            <w:pPr>
              <w:spacing w:line="300" w:lineRule="auto"/>
            </w:pPr>
            <w:r>
              <w:rPr>
                <w:b/>
                <w:sz w:val="16"/>
              </w:rPr>
              <w:t>本次全修正实空间结果 eV</w:t>
            </w:r>
          </w:p>
        </w:tc>
        <w:tc>
          <w:tcPr>
            <w:tcW w:type="dxa" w:w="2494"/>
          </w:tcPr>
          <w:p>
            <w:pPr>
              <w:spacing w:line="300" w:lineRule="auto"/>
            </w:pPr>
            <w:r>
              <w:rPr>
                <w:b/>
                <w:sz w:val="16"/>
              </w:rPr>
              <w:t>2024 实验值 eV</w:t>
            </w:r>
          </w:p>
        </w:tc>
        <w:tc>
          <w:tcPr>
            <w:tcW w:type="dxa" w:w="2494"/>
          </w:tcPr>
          <w:p>
            <w:pPr>
              <w:spacing w:line="300" w:lineRule="auto"/>
            </w:pPr>
            <w:r>
              <w:rPr>
                <w:b/>
                <w:sz w:val="16"/>
              </w:rPr>
              <w:t>计算减实验 meV</w:t>
            </w:r>
          </w:p>
        </w:tc>
      </w:tr>
      <w:tr>
        <w:trPr>
          <w:cantSplit/>
        </w:trPr>
        <w:tc>
          <w:tcPr>
            <w:tcW w:type="dxa" w:w="2494"/>
          </w:tcPr>
          <w:p>
            <w:pPr>
              <w:spacing w:line="300" w:lineRule="auto"/>
            </w:pPr>
            <w:r>
              <w:rPr>
                <w:b w:val="0"/>
                <w:sz w:val="16"/>
              </w:rPr>
              <w:t>q</w:t>
            </w:r>
          </w:p>
        </w:tc>
        <w:tc>
          <w:tcPr>
            <w:tcW w:type="dxa" w:w="2494"/>
          </w:tcPr>
          <w:p>
            <w:pPr>
              <w:spacing w:line="300" w:lineRule="auto"/>
            </w:pPr>
            <w:r>
              <w:rPr>
                <w:b w:val="0"/>
                <w:sz w:val="16"/>
              </w:rPr>
              <w:t>908.193003810</w:t>
            </w:r>
          </w:p>
        </w:tc>
        <w:tc>
          <w:tcPr>
            <w:tcW w:type="dxa" w:w="2494"/>
          </w:tcPr>
          <w:p>
            <w:pPr>
              <w:spacing w:line="300" w:lineRule="auto"/>
            </w:pPr>
            <w:r>
              <w:rPr>
                <w:b w:val="0"/>
                <w:sz w:val="16"/>
              </w:rPr>
              <w:t>908.2019(55)</w:t>
            </w:r>
          </w:p>
        </w:tc>
        <w:tc>
          <w:tcPr>
            <w:tcW w:type="dxa" w:w="2494"/>
          </w:tcPr>
          <w:p>
            <w:pPr>
              <w:spacing w:line="300" w:lineRule="auto"/>
            </w:pPr>
            <w:r>
              <w:rPr>
                <w:b w:val="0"/>
                <w:sz w:val="16"/>
              </w:rPr>
              <w:t>−8.896190</w:t>
            </w:r>
          </w:p>
        </w:tc>
      </w:tr>
      <w:tr>
        <w:trPr>
          <w:cantSplit/>
        </w:trPr>
        <w:tc>
          <w:tcPr>
            <w:tcW w:type="dxa" w:w="2494"/>
          </w:tcPr>
          <w:p>
            <w:pPr>
              <w:spacing w:line="300" w:lineRule="auto"/>
            </w:pPr>
            <w:r>
              <w:rPr>
                <w:b w:val="0"/>
                <w:sz w:val="16"/>
              </w:rPr>
              <w:t>r</w:t>
            </w:r>
          </w:p>
        </w:tc>
        <w:tc>
          <w:tcPr>
            <w:tcW w:type="dxa" w:w="2494"/>
          </w:tcPr>
          <w:p>
            <w:pPr>
              <w:spacing w:line="300" w:lineRule="auto"/>
            </w:pPr>
            <w:r>
              <w:rPr>
                <w:b w:val="0"/>
                <w:sz w:val="16"/>
              </w:rPr>
              <w:t>908.065718918</w:t>
            </w:r>
          </w:p>
        </w:tc>
        <w:tc>
          <w:tcPr>
            <w:tcW w:type="dxa" w:w="2494"/>
          </w:tcPr>
          <w:p>
            <w:pPr>
              <w:spacing w:line="300" w:lineRule="auto"/>
            </w:pPr>
            <w:r>
              <w:rPr>
                <w:b w:val="0"/>
                <w:sz w:val="16"/>
              </w:rPr>
              <w:t>908.0796(57)</w:t>
            </w:r>
          </w:p>
        </w:tc>
        <w:tc>
          <w:tcPr>
            <w:tcW w:type="dxa" w:w="2494"/>
          </w:tcPr>
          <w:p>
            <w:pPr>
              <w:spacing w:line="300" w:lineRule="auto"/>
            </w:pPr>
            <w:r>
              <w:rPr>
                <w:b w:val="0"/>
                <w:sz w:val="16"/>
              </w:rPr>
              <w:t>−13.881082</w:t>
            </w:r>
          </w:p>
        </w:tc>
      </w:tr>
    </w:tbl>
    <w:p>
      <w:r>
        <w:t>实验论文另报联合拟合劈裂 122.2(5.3) meV，本次 q−r 为 127.284892 meV，差为 5.084892 meV。印刷单线值的代数差、联合劈裂和另报中心可能属于不同估计量，比较时必须保留各自定义。项目没有据此构造未验证的协方差或显著性结论。</w:t>
      </w:r>
      <w:hyperlink r:id="rId21">
        <w:r>
          <w:rPr>
            <w:color w:val="24648B"/>
          </w:rPr>
          <w:t>2024 原始论文</w:t>
        </w:r>
      </w:hyperlink>
      <w:r>
        <w:t>、</w:t>
      </w:r>
      <w:hyperlink r:id="rId22">
        <w:r>
          <w:rPr>
            <w:color w:val="24648B"/>
          </w:rPr>
          <w:t>实验名义值核对</w:t>
        </w:r>
      </w:hyperlink>
    </w:p>
    <w:p>
      <w:r>
        <w:t>此前约 0.30 eV 的偏差属于较小的历史空间；当前结果已发生显著改变。不同阶段的空间和算符条件必须随数值报告，不能将历史偏差视为当前结果，也不能把全部历史改善唯一归给基态。</w:t>
      </w:r>
    </w:p>
    <w:p>
      <w:pPr>
        <w:pStyle w:val="Heading2"/>
      </w:pPr>
      <w:r>
        <w:t>Breit 与 QED 的响应已经进入计算</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固定完整 3200 Ha 空间的 Breit 控制</w:t>
            </w:r>
          </w:p>
        </w:tc>
        <w:tc>
          <w:tcPr>
            <w:tcW w:type="dxa" w:w="3326"/>
          </w:tcPr>
          <w:p>
            <w:pPr>
              <w:spacing w:line="300" w:lineRule="auto"/>
            </w:pPr>
            <w:r>
              <w:rPr>
                <w:b/>
                <w:sz w:val="16"/>
              </w:rPr>
              <w:t>q meV</w:t>
            </w:r>
          </w:p>
        </w:tc>
        <w:tc>
          <w:tcPr>
            <w:tcW w:type="dxa" w:w="3326"/>
          </w:tcPr>
          <w:p>
            <w:pPr>
              <w:spacing w:line="300" w:lineRule="auto"/>
            </w:pPr>
            <w:r>
              <w:rPr>
                <w:b/>
                <w:sz w:val="16"/>
              </w:rPr>
              <w:t>r meV</w:t>
            </w:r>
          </w:p>
        </w:tc>
      </w:tr>
      <w:tr>
        <w:trPr>
          <w:cantSplit/>
        </w:trPr>
        <w:tc>
          <w:tcPr>
            <w:tcW w:type="dxa" w:w="3326"/>
          </w:tcPr>
          <w:p>
            <w:pPr>
              <w:spacing w:line="300" w:lineRule="auto"/>
            </w:pPr>
            <w:r>
              <w:rPr>
                <w:b w:val="0"/>
                <w:sz w:val="16"/>
              </w:rPr>
              <w:t>DCB 减 DC 的实际跃迁响应</w:t>
            </w:r>
          </w:p>
        </w:tc>
        <w:tc>
          <w:tcPr>
            <w:tcW w:type="dxa" w:w="3326"/>
          </w:tcPr>
          <w:p>
            <w:pPr>
              <w:spacing w:line="300" w:lineRule="auto"/>
            </w:pPr>
            <w:r>
              <w:rPr>
                <w:b w:val="0"/>
                <w:sz w:val="16"/>
              </w:rPr>
              <w:t>−293.412028</w:t>
            </w:r>
          </w:p>
        </w:tc>
        <w:tc>
          <w:tcPr>
            <w:tcW w:type="dxa" w:w="3326"/>
          </w:tcPr>
          <w:p>
            <w:pPr>
              <w:spacing w:line="300" w:lineRule="auto"/>
            </w:pPr>
            <w:r>
              <w:rPr>
                <w:b w:val="0"/>
                <w:sz w:val="16"/>
              </w:rPr>
              <w:t>−297.556786</w:t>
            </w:r>
          </w:p>
        </w:tc>
      </w:tr>
      <w:tr>
        <w:trPr>
          <w:cantSplit/>
        </w:trPr>
        <w:tc>
          <w:tcPr>
            <w:tcW w:type="dxa" w:w="3326"/>
          </w:tcPr>
          <w:p>
            <w:pPr>
              <w:spacing w:line="300" w:lineRule="auto"/>
            </w:pPr>
            <w:r>
              <w:rPr>
                <w:b w:val="0"/>
                <w:sz w:val="16"/>
              </w:rPr>
              <w:t>DC 态的一阶 Breit 期望差</w:t>
            </w:r>
          </w:p>
        </w:tc>
        <w:tc>
          <w:tcPr>
            <w:tcW w:type="dxa" w:w="3326"/>
          </w:tcPr>
          <w:p>
            <w:pPr>
              <w:spacing w:line="300" w:lineRule="auto"/>
            </w:pPr>
            <w:r>
              <w:rPr>
                <w:b w:val="0"/>
                <w:sz w:val="16"/>
              </w:rPr>
              <w:t>−293.653337</w:t>
            </w:r>
          </w:p>
        </w:tc>
        <w:tc>
          <w:tcPr>
            <w:tcW w:type="dxa" w:w="3326"/>
          </w:tcPr>
          <w:p>
            <w:pPr>
              <w:spacing w:line="300" w:lineRule="auto"/>
            </w:pPr>
            <w:r>
              <w:rPr>
                <w:b w:val="0"/>
                <w:sz w:val="16"/>
              </w:rPr>
              <w:t>−297.847927</w:t>
            </w:r>
          </w:p>
        </w:tc>
      </w:tr>
      <w:tr>
        <w:trPr>
          <w:cantSplit/>
        </w:trPr>
        <w:tc>
          <w:tcPr>
            <w:tcW w:type="dxa" w:w="3326"/>
          </w:tcPr>
          <w:p>
            <w:pPr>
              <w:spacing w:line="300" w:lineRule="auto"/>
            </w:pPr>
            <w:r>
              <w:rPr>
                <w:b w:val="0"/>
                <w:sz w:val="16"/>
              </w:rPr>
              <w:t>已包含的非线性 CI 响应</w:t>
            </w:r>
          </w:p>
        </w:tc>
        <w:tc>
          <w:tcPr>
            <w:tcW w:type="dxa" w:w="3326"/>
          </w:tcPr>
          <w:p>
            <w:pPr>
              <w:spacing w:line="300" w:lineRule="auto"/>
            </w:pPr>
            <w:r>
              <w:rPr>
                <w:b w:val="0"/>
                <w:sz w:val="16"/>
              </w:rPr>
              <w:t>0.241308</w:t>
            </w:r>
          </w:p>
        </w:tc>
        <w:tc>
          <w:tcPr>
            <w:tcW w:type="dxa" w:w="3326"/>
          </w:tcPr>
          <w:p>
            <w:pPr>
              <w:spacing w:line="300" w:lineRule="auto"/>
            </w:pPr>
            <w:r>
              <w:rPr>
                <w:b w:val="0"/>
                <w:sz w:val="16"/>
              </w:rPr>
              <w:t>0.291141</w:t>
            </w:r>
          </w:p>
        </w:tc>
      </w:tr>
      <w:tr>
        <w:trPr>
          <w:cantSplit/>
        </w:trPr>
        <w:tc>
          <w:tcPr>
            <w:tcW w:type="dxa" w:w="3326"/>
          </w:tcPr>
          <w:p>
            <w:pPr>
              <w:spacing w:line="300" w:lineRule="auto"/>
            </w:pPr>
            <w:r>
              <w:rPr>
                <w:b w:val="0"/>
                <w:sz w:val="16"/>
              </w:rPr>
              <w:t>实际开关响应减 2017 印刷分项</w:t>
            </w:r>
          </w:p>
        </w:tc>
        <w:tc>
          <w:tcPr>
            <w:tcW w:type="dxa" w:w="3326"/>
          </w:tcPr>
          <w:p>
            <w:pPr>
              <w:spacing w:line="300" w:lineRule="auto"/>
            </w:pPr>
            <w:r>
              <w:rPr>
                <w:b w:val="0"/>
                <w:sz w:val="16"/>
              </w:rPr>
              <w:t>−4.018936</w:t>
            </w:r>
          </w:p>
        </w:tc>
        <w:tc>
          <w:tcPr>
            <w:tcW w:type="dxa" w:w="3326"/>
          </w:tcPr>
          <w:p>
            <w:pPr>
              <w:spacing w:line="300" w:lineRule="auto"/>
            </w:pPr>
            <w:r>
              <w:rPr>
                <w:b w:val="0"/>
                <w:sz w:val="16"/>
              </w:rPr>
              <w:t>−4.490156</w:t>
            </w:r>
          </w:p>
        </w:tc>
      </w:tr>
    </w:tbl>
    <w:p>
      <w:r>
        <w:t>完整对角化已包含约 0.24–0.29 meV 的非线性响应。前期完整 1600 Ha 的 QED 单独开关控制测得约 0.0395/0.0393 meV 的非线性 CI 响应，同样已经进入相应谱位。它们不能当作遗漏修正再加一次，也不能用于约束尚未测量的轨道或投影自洽。</w:t>
      </w:r>
      <w:hyperlink r:id="rId23">
        <w:r>
          <w:rPr>
            <w:color w:val="24648B"/>
          </w:rPr>
          <w:t>完整 Breit 路径</w:t>
        </w:r>
      </w:hyperlink>
      <w:r>
        <w:t>、</w:t>
      </w:r>
      <w:hyperlink r:id="rId24">
        <w:r>
          <w:rPr>
            <w:color w:val="24648B"/>
          </w:rPr>
          <w:t>QED 同空间控制记录</w:t>
        </w:r>
      </w:hyperlink>
    </w:p>
    <w:p>
      <w:r>
        <w:t>2017 论文采用 DCB 求解，但印刷 DC/Breit 分项的具体取值态与拆分处方尚未完全匹配。本项目同时检查能量开关差与最终态算符期望，保留定义差异。约 4–5 meV 的跨模型 Breit 分项差是定位线索；它不是独立遗漏物理项的误差预算。</w:t>
      </w:r>
      <w:hyperlink r:id="rId25">
        <w:r>
          <w:rPr>
            <w:color w:val="24648B"/>
          </w:rPr>
          <w:t>2017 原始论文</w:t>
        </w:r>
      </w:hyperlink>
    </w:p>
    <w:p>
      <w:r>
        <w:t>在参考组态有限频率处方内，完整 3200 Ha 态的一阶跃迁响应为 0.045086/0.046889 meV，指定有限空间算符的有序本征值跃迁界为 0.071999/0.070425 meV。该处方内的频率项不足以补足上述分项差；此界不能推广为完整频率依赖 QED、轨道响应或极点误差界。</w:t>
      </w:r>
      <w:hyperlink r:id="rId26">
        <w:r>
          <w:rPr>
            <w:color w:val="24648B"/>
          </w:rPr>
          <w:t>参考组态频率控制</w:t>
        </w:r>
      </w:hyperlink>
    </w:p>
    <w:p>
      <w:r>
        <w:t>算符及有限频率相关回归共 68 项通过，包含有符号矩阵元、零频极限和表示约定控制。它们验证对应实现和测试范围，不替代完整 Ne 大空间的独立跨代码复现。</w:t>
      </w:r>
      <w:hyperlink r:id="rId27">
        <w:r>
          <w:rPr>
            <w:color w:val="24648B"/>
          </w:rPr>
          <w:t>静态及复算符回归</w:t>
        </w:r>
      </w:hyperlink>
      <w:r>
        <w:t>、</w:t>
      </w:r>
      <w:hyperlink r:id="rId28">
        <w:r>
          <w:rPr>
            <w:color w:val="24648B"/>
          </w:rPr>
          <w:t>有限频率回归</w:t>
        </w:r>
      </w:hyperlink>
    </w:p>
    <w:p>
      <w:pPr>
        <w:pStyle w:val="Heading2"/>
      </w:pPr>
      <w:r>
        <w:t>复尺度候选通过局部门限但尚未认证</w:t>
      </w:r>
    </w:p>
    <w:p>
      <w:r>
        <w:t>复空间控制采用点核、核 Dirac 正能投影和较小 s/p 空间，区别于实空间生产模型。</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N2 束缚锚控制</w:t>
            </w:r>
          </w:p>
        </w:tc>
        <w:tc>
          <w:tcPr>
            <w:tcW w:type="dxa" w:w="3326"/>
          </w:tcPr>
          <w:p>
            <w:pPr>
              <w:spacing w:line="300" w:lineRule="auto"/>
            </w:pPr>
            <w:r>
              <w:rPr>
                <w:b/>
                <w:sz w:val="16"/>
              </w:rPr>
              <w:t>虚部绝对值 Ha</w:t>
            </w:r>
          </w:p>
        </w:tc>
        <w:tc>
          <w:tcPr>
            <w:tcW w:type="dxa" w:w="3326"/>
          </w:tcPr>
          <w:p>
            <w:pPr>
              <w:spacing w:line="300" w:lineRule="auto"/>
            </w:pPr>
            <w:r>
              <w:rPr>
                <w:b/>
                <w:sz w:val="16"/>
              </w:rPr>
              <w:t>原门限 10⁻⁷ Ha</w:t>
            </w:r>
          </w:p>
        </w:tc>
      </w:tr>
      <w:tr>
        <w:trPr>
          <w:cantSplit/>
        </w:trPr>
        <w:tc>
          <w:tcPr>
            <w:tcW w:type="dxa" w:w="3326"/>
          </w:tcPr>
          <w:p>
            <w:pPr>
              <w:spacing w:line="300" w:lineRule="auto"/>
            </w:pPr>
            <w:r>
              <w:rPr>
                <w:b w:val="0"/>
                <w:sz w:val="16"/>
              </w:rPr>
              <w:t>R4 关闭 Breit 后的完整 mixed4 空间</w:t>
            </w:r>
          </w:p>
        </w:tc>
        <w:tc>
          <w:tcPr>
            <w:tcW w:type="dxa" w:w="3326"/>
          </w:tcPr>
          <w:p>
            <w:pPr>
              <w:spacing w:line="300" w:lineRule="auto"/>
            </w:pPr>
            <w:r>
              <w:rPr>
                <w:b w:val="0"/>
                <w:sz w:val="16"/>
              </w:rPr>
              <w:t>1.270325×10⁻⁴</w:t>
            </w:r>
          </w:p>
        </w:tc>
        <w:tc>
          <w:tcPr>
            <w:tcW w:type="dxa" w:w="3326"/>
          </w:tcPr>
          <w:p>
            <w:pPr>
              <w:spacing w:line="300" w:lineRule="auto"/>
            </w:pPr>
            <w:r>
              <w:rPr>
                <w:b w:val="0"/>
                <w:sz w:val="16"/>
              </w:rPr>
              <w:t>未通过</w:t>
            </w:r>
          </w:p>
        </w:tc>
      </w:tr>
      <w:tr>
        <w:trPr>
          <w:cantSplit/>
        </w:trPr>
        <w:tc>
          <w:tcPr>
            <w:tcW w:type="dxa" w:w="3326"/>
          </w:tcPr>
          <w:p>
            <w:pPr>
              <w:spacing w:line="300" w:lineRule="auto"/>
            </w:pPr>
            <w:r>
              <w:rPr>
                <w:b w:val="0"/>
                <w:sz w:val="16"/>
              </w:rPr>
              <w:t>R8 的同类完整空间</w:t>
            </w:r>
          </w:p>
        </w:tc>
        <w:tc>
          <w:tcPr>
            <w:tcW w:type="dxa" w:w="3326"/>
          </w:tcPr>
          <w:p>
            <w:pPr>
              <w:spacing w:line="300" w:lineRule="auto"/>
            </w:pPr>
            <w:r>
              <w:rPr>
                <w:b w:val="0"/>
                <w:sz w:val="16"/>
              </w:rPr>
              <w:t>7.803523×10⁻⁷</w:t>
            </w:r>
          </w:p>
        </w:tc>
        <w:tc>
          <w:tcPr>
            <w:tcW w:type="dxa" w:w="3326"/>
          </w:tcPr>
          <w:p>
            <w:pPr>
              <w:spacing w:line="300" w:lineRule="auto"/>
            </w:pPr>
            <w:r>
              <w:rPr>
                <w:b w:val="0"/>
                <w:sz w:val="16"/>
              </w:rPr>
              <w:t>未通过</w:t>
            </w:r>
          </w:p>
        </w:tc>
      </w:tr>
      <w:tr>
        <w:trPr>
          <w:cantSplit/>
        </w:trPr>
        <w:tc>
          <w:tcPr>
            <w:tcW w:type="dxa" w:w="3326"/>
          </w:tcPr>
          <w:p>
            <w:pPr>
              <w:spacing w:line="300" w:lineRule="auto"/>
            </w:pPr>
            <w:r>
              <w:rPr>
                <w:b w:val="0"/>
                <w:sz w:val="16"/>
              </w:rPr>
              <w:t>R12 的同类完整空间</w:t>
            </w:r>
          </w:p>
        </w:tc>
        <w:tc>
          <w:tcPr>
            <w:tcW w:type="dxa" w:w="3326"/>
          </w:tcPr>
          <w:p>
            <w:pPr>
              <w:spacing w:line="300" w:lineRule="auto"/>
            </w:pPr>
            <w:r>
              <w:rPr>
                <w:b w:val="0"/>
                <w:sz w:val="16"/>
              </w:rPr>
              <w:t>1.340341×10⁻⁹</w:t>
            </w:r>
          </w:p>
        </w:tc>
        <w:tc>
          <w:tcPr>
            <w:tcW w:type="dxa" w:w="3326"/>
          </w:tcPr>
          <w:p>
            <w:pPr>
              <w:spacing w:line="300" w:lineRule="auto"/>
            </w:pPr>
            <w:r>
              <w:rPr>
                <w:b w:val="0"/>
                <w:sz w:val="16"/>
              </w:rPr>
              <w:t>通过</w:t>
            </w:r>
          </w:p>
        </w:tc>
      </w:tr>
    </w:tbl>
    <w:p>
      <w:r>
        <w:t>关闭 Breit 后异常仍存在，排除了 Breit 是该异常必要原因的解释。扩大外盒恢复束缚锚门，但同时改变了域和有限谱密度，不能唯一归为纯墙面效应。</w:t>
      </w:r>
      <w:hyperlink r:id="rId29">
        <w:r>
          <w:rPr>
            <w:color w:val="24648B"/>
          </w:rPr>
          <w:t>关闭 Breit 控制</w:t>
        </w:r>
      </w:hyperlink>
      <w:r>
        <w:t>、</w:t>
      </w:r>
      <w:hyperlink r:id="rId30">
        <w:r>
          <w:rPr>
            <w:color w:val="24648B"/>
          </w:rPr>
          <w:t>外盒与有限谱控制</w:t>
        </w:r>
      </w:hyperlink>
    </w:p>
    <w:p>
      <w:r>
        <w:t>在 R12 静态 DCB 模型中，q/r 候选具备正确开放阈值和出射号，独立完整谱重放通过；有限 θ 邻域的复能跨度约为 0.000101/0.000104 meV。然而 rank1 到完整 mixed4 双激发空间使跃迁变化 −31.498997/−32.137585 meV，相关空间仍未收敛。</w:t>
      </w:r>
      <w:hyperlink r:id="rId31">
        <w:r>
          <w:rPr>
            <w:color w:val="24648B"/>
          </w:rPr>
          <w:t>完整谱对照</w:t>
        </w:r>
      </w:hyperlink>
      <w:r>
        <w:t>、</w:t>
      </w:r>
      <w:hyperlink r:id="rId32">
        <w:r>
          <w:rPr>
            <w:color w:val="24648B"/>
          </w:rPr>
          <w:t>角度控制</w:t>
        </w:r>
      </w:hyperlink>
    </w:p>
    <w:p>
      <w:r>
        <w:t>因此，项目保存共振候选与形式宽度，保留物理极点未认证状态。点核分支的位移没有拼接到 Fermi 核生产谱位。</w:t>
      </w:r>
    </w:p>
    <w:p>
      <w:r>
        <w:drawing>
          <wp:inline xmlns:a="http://schemas.openxmlformats.org/drawingml/2006/main" xmlns:pic="http://schemas.openxmlformats.org/drawingml/2006/picture">
            <wp:extent cx="6228000" cy="1779429"/>
            <wp:docPr id="2" name="Picture 2"/>
            <wp:cNvGraphicFramePr>
              <a:graphicFrameLocks noChangeAspect="1"/>
            </wp:cNvGraphicFramePr>
            <a:graphic>
              <a:graphicData uri="http://schemas.openxmlformats.org/drawingml/2006/picture">
                <pic:pic>
                  <pic:nvPicPr>
                    <pic:cNvPr id="0" name="measured_controls.png"/>
                    <pic:cNvPicPr/>
                  </pic:nvPicPr>
                  <pic:blipFill>
                    <a:blip r:embed="rId33"/>
                    <a:stretch>
                      <a:fillRect/>
                    </a:stretch>
                  </pic:blipFill>
                  <pic:spPr>
                    <a:xfrm>
                      <a:off x="0" y="0"/>
                      <a:ext cx="6228000" cy="1779429"/>
                    </a:xfrm>
                    <a:prstGeom prst="rect"/>
                  </pic:spPr>
                </pic:pic>
              </a:graphicData>
            </a:graphic>
          </wp:inline>
        </w:drawing>
      </w:r>
    </w:p>
    <w:p>
      <w:r>
        <w:t>已测截止增量 束缚锚控制与 Breit 分项</w:t>
      </w:r>
    </w:p>
    <w:p>
      <w:r>
        <w:t>图中左侧显示局部截止增量，不能读取为剩余误差界；中间同时改变外盒和有限谱密度；右侧论文分项比较跨模型。</w:t>
      </w:r>
    </w:p>
    <w:p>
      <w:pPr>
        <w:pStyle w:val="Heading1"/>
      </w:pPr>
      <w:r>
        <w:t>失败记录与科学判断</w:t>
      </w:r>
    </w:p>
    <w:p>
      <w:pPr>
        <w:pStyle w:val="Heading2"/>
      </w:pPr>
      <w:r>
        <w:t>测前尾部预测没有通过</w:t>
      </w:r>
    </w:p>
    <w:p>
      <w:r>
        <w:t>测量前采用条件幂律 p=1.5 预测最新一步的 q/r 增量为 7.224007/7.176688 meV，实际为 5.914650/5.874690 meV，误差为 1.309356/1.301998 meV。两条线均未通过原 1 meV 预测门，最新局部增量也未通过 1 meV 门。</w:t>
      </w:r>
    </w:p>
    <w:p>
      <w:r>
        <w:t>项目保留原预测和失败结果。条件幂律可以帮助安排计算，但没有成为已认证的剩余误差界，也没有用来补齐最终能量。</w:t>
      </w:r>
      <w:hyperlink r:id="rId16">
        <w:r>
          <w:rPr>
            <w:color w:val="24648B"/>
          </w:rPr>
          <w:t>测前预测与实际结果</w:t>
        </w:r>
      </w:hyperlink>
    </w:p>
    <w:p>
      <w:pPr>
        <w:pStyle w:val="Heading2"/>
      </w:pPr>
      <w:r>
        <w:t>账本精度失败修正了诊断算术</w:t>
      </w:r>
    </w:p>
    <w:p>
      <w:r>
        <w:t>原验证已通过三态残差、谱隙和身份门，最后的跃迁增量账本闭合却超过 10⁻⁸ meV 门限。失败量级约为 2.30×10⁻⁸ 和 1.66×10⁻⁸ meV。该严格账本门是内部算术一致性检查，与实验精度或物理收敛标准不同。</w:t>
      </w:r>
    </w:p>
    <w:p>
      <w:r>
        <w:t>原日志、协议和输入哈希先行保存。随后保持 Hamiltonian、波函数和生产能量逐字节相同，采用更高精度的增量收缩，显式检查归一化。重试闭合差为 8.68×10⁻⁹ 和 −7.49×10⁻⁹ meV，通过原门限；未改动的完整原验证随后重新通过。这个修复没有添加物理修正。</w:t>
      </w:r>
      <w:hyperlink r:id="rId34">
        <w:r>
          <w:rPr>
            <w:color w:val="24648B"/>
          </w:rPr>
          <w:t>原失败索引</w:t>
        </w:r>
      </w:hyperlink>
      <w:r>
        <w:t>、</w:t>
      </w:r>
      <w:hyperlink r:id="rId35">
        <w:r>
          <w:rPr>
            <w:color w:val="24648B"/>
          </w:rPr>
          <w:t>测前重试协议</w:t>
        </w:r>
      </w:hyperlink>
      <w:r>
        <w:t>、</w:t>
      </w:r>
      <w:hyperlink r:id="rId36">
        <w:r>
          <w:rPr>
            <w:color w:val="24648B"/>
          </w:rPr>
          <w:t>实际重试结果</w:t>
        </w:r>
      </w:hyperlink>
    </w:p>
    <w:p>
      <w:pPr>
        <w:pStyle w:val="Heading2"/>
      </w:pPr>
      <w:r>
        <w:t>表示变化必须同步变换参考</w:t>
      </w:r>
    </w:p>
    <w:p>
      <w:r>
        <w:t>复空间最初的裸 LS 参考未带入径向本征向量的任意符号，导致 q 参考指标无法通过原身份门。独立解析轨道确认号规后，仅修复参考的协变变换，Hamiltonian、根、能量和阈值保持。完整坐标翻转控制验证了该修复范围。</w:t>
      </w:r>
      <w:hyperlink r:id="rId37">
        <w:r>
          <w:rPr>
            <w:color w:val="24648B"/>
          </w:rPr>
          <w:t>完整号规与协变性证据</w:t>
        </w:r>
      </w:hyperlink>
    </w:p>
    <w:p>
      <w:r>
        <w:t>这三个案例显示智能体需要识别失败发生在哪一层：外推假设、数值诊断算术或基底表示。不同层的修复不能混为物理机制发现。</w:t>
      </w:r>
    </w:p>
    <w:p>
      <w:pPr>
        <w:pStyle w:val="Heading1"/>
      </w:pPr>
      <w:r>
        <w:t>复现条件与证据交付</w:t>
      </w:r>
    </w:p>
    <w:p>
      <w:pPr>
        <w:pStyle w:val="Heading2"/>
      </w:pPr>
      <w:r>
        <w:t>实空间生产条件</w:t>
      </w:r>
    </w:p>
    <w:tbl>
      <w:tblPr>
        <w:tblStyle w:val="TableGrid"/>
        <w:tblW w:type="auto" w:w="0"/>
        <w:tblLook w:firstColumn="1" w:firstRow="1" w:lastColumn="0" w:lastRow="0" w:noHBand="0" w:noVBand="1" w:val="04A0"/>
      </w:tblPr>
      <w:tblGrid>
        <w:gridCol w:w="4989"/>
        <w:gridCol w:w="4989"/>
      </w:tblGrid>
      <w:tr>
        <w:trPr>
          <w:cantSplit/>
          <w:tblHeader/>
        </w:trPr>
        <w:tc>
          <w:tcPr>
            <w:tcW w:type="dxa" w:w="4989"/>
          </w:tcPr>
          <w:p>
            <w:pPr>
              <w:spacing w:line="300" w:lineRule="auto"/>
            </w:pPr>
            <w:r>
              <w:rPr>
                <w:b/>
                <w:sz w:val="16"/>
              </w:rPr>
              <w:t>条件</w:t>
            </w:r>
          </w:p>
        </w:tc>
        <w:tc>
          <w:tcPr>
            <w:tcW w:type="dxa" w:w="4989"/>
          </w:tcPr>
          <w:p>
            <w:pPr>
              <w:spacing w:line="300" w:lineRule="auto"/>
            </w:pPr>
            <w:r>
              <w:rPr>
                <w:b/>
                <w:sz w:val="16"/>
              </w:rPr>
              <w:t>实际配置</w:t>
            </w:r>
          </w:p>
        </w:tc>
      </w:tr>
      <w:tr>
        <w:trPr>
          <w:cantSplit/>
        </w:trPr>
        <w:tc>
          <w:tcPr>
            <w:tcW w:type="dxa" w:w="4989"/>
          </w:tcPr>
          <w:p>
            <w:pPr>
              <w:spacing w:line="300" w:lineRule="auto"/>
            </w:pPr>
            <w:r>
              <w:rPr>
                <w:b w:val="0"/>
                <w:sz w:val="16"/>
              </w:rPr>
              <w:t>元素与同位素</w:t>
            </w:r>
          </w:p>
        </w:tc>
        <w:tc>
          <w:tcPr>
            <w:tcW w:type="dxa" w:w="4989"/>
          </w:tcPr>
          <w:p>
            <w:pPr>
              <w:spacing w:line="300" w:lineRule="auto"/>
            </w:pPr>
            <w:r>
              <w:rPr>
                <w:b w:val="0"/>
                <w:sz w:val="16"/>
              </w:rPr>
              <w:t>Z=10，²⁰Ne</w:t>
            </w:r>
          </w:p>
        </w:tc>
      </w:tr>
      <w:tr>
        <w:trPr>
          <w:cantSplit/>
        </w:trPr>
        <w:tc>
          <w:tcPr>
            <w:tcW w:type="dxa" w:w="4989"/>
          </w:tcPr>
          <w:p>
            <w:pPr>
              <w:spacing w:line="300" w:lineRule="auto"/>
            </w:pPr>
            <w:r>
              <w:rPr>
                <w:b w:val="0"/>
                <w:sz w:val="16"/>
              </w:rPr>
              <w:t>核模型</w:t>
            </w:r>
          </w:p>
        </w:tc>
        <w:tc>
          <w:tcPr>
            <w:tcW w:type="dxa" w:w="4989"/>
          </w:tcPr>
          <w:p>
            <w:pPr>
              <w:spacing w:line="300" w:lineRule="auto"/>
            </w:pPr>
            <w:r>
              <w:rPr>
                <w:b w:val="0"/>
                <w:sz w:val="16"/>
              </w:rPr>
              <w:t>Fermi 核，rms 3.0055 fm，skin 2.30 fm</w:t>
            </w:r>
          </w:p>
        </w:tc>
      </w:tr>
      <w:tr>
        <w:trPr>
          <w:cantSplit/>
        </w:trPr>
        <w:tc>
          <w:tcPr>
            <w:tcW w:type="dxa" w:w="4989"/>
          </w:tcPr>
          <w:p>
            <w:pPr>
              <w:spacing w:line="300" w:lineRule="auto"/>
            </w:pPr>
            <w:r>
              <w:rPr>
                <w:b w:val="0"/>
                <w:sz w:val="16"/>
              </w:rPr>
              <w:t>轨道与投影</w:t>
            </w:r>
          </w:p>
        </w:tc>
        <w:tc>
          <w:tcPr>
            <w:tcW w:type="dxa" w:w="4989"/>
          </w:tcPr>
          <w:p>
            <w:pPr>
              <w:spacing w:line="300" w:lineRule="auto"/>
            </w:pPr>
            <w:r>
              <w:rPr>
                <w:b w:val="0"/>
                <w:sz w:val="16"/>
              </w:rPr>
              <w:t>冻结 1s² Dirac–Fock 轨道，电子正能支</w:t>
            </w:r>
          </w:p>
        </w:tc>
      </w:tr>
      <w:tr>
        <w:trPr>
          <w:cantSplit/>
        </w:trPr>
        <w:tc>
          <w:tcPr>
            <w:tcW w:type="dxa" w:w="4989"/>
          </w:tcPr>
          <w:p>
            <w:pPr>
              <w:spacing w:line="300" w:lineRule="auto"/>
            </w:pPr>
            <w:r>
              <w:rPr>
                <w:b w:val="0"/>
                <w:sz w:val="16"/>
              </w:rPr>
              <w:t>Hamiltonian</w:t>
            </w:r>
          </w:p>
        </w:tc>
        <w:tc>
          <w:tcPr>
            <w:tcW w:type="dxa" w:w="4989"/>
          </w:tcPr>
          <w:p>
            <w:pPr>
              <w:spacing w:line="300" w:lineRule="auto"/>
            </w:pPr>
            <w:r>
              <w:rPr>
                <w:b w:val="0"/>
                <w:sz w:val="16"/>
              </w:rPr>
              <w:t>DC 加完整静态 Breit、QEDMOD、NMS、SMS</w:t>
            </w:r>
          </w:p>
        </w:tc>
      </w:tr>
      <w:tr>
        <w:trPr>
          <w:cantSplit/>
        </w:trPr>
        <w:tc>
          <w:tcPr>
            <w:tcW w:type="dxa" w:w="4989"/>
          </w:tcPr>
          <w:p>
            <w:pPr>
              <w:spacing w:line="300" w:lineRule="auto"/>
            </w:pPr>
            <w:r>
              <w:rPr>
                <w:b w:val="0"/>
                <w:sz w:val="16"/>
              </w:rPr>
              <w:t>径向表示</w:t>
            </w:r>
          </w:p>
        </w:tc>
        <w:tc>
          <w:tcPr>
            <w:tcW w:type="dxa" w:w="4989"/>
          </w:tcPr>
          <w:p>
            <w:pPr>
              <w:spacing w:line="300" w:lineRule="auto"/>
            </w:pPr>
            <w:r>
              <w:rPr>
                <w:b w:val="0"/>
                <w:sz w:val="16"/>
              </w:rPr>
              <w:t>NS160，B 样条阶数 9，R40，γ=1，Gauss21</w:t>
            </w:r>
          </w:p>
        </w:tc>
      </w:tr>
      <w:tr>
        <w:trPr>
          <w:cantSplit/>
        </w:trPr>
        <w:tc>
          <w:tcPr>
            <w:tcW w:type="dxa" w:w="4989"/>
          </w:tcPr>
          <w:p>
            <w:pPr>
              <w:spacing w:line="300" w:lineRule="auto"/>
            </w:pPr>
            <w:r>
              <w:rPr>
                <w:b w:val="0"/>
                <w:sz w:val="16"/>
              </w:rPr>
              <w:t>分波与相关</w:t>
            </w:r>
          </w:p>
        </w:tc>
        <w:tc>
          <w:tcPr>
            <w:tcW w:type="dxa" w:w="4989"/>
          </w:tcPr>
          <w:p>
            <w:pPr>
              <w:spacing w:line="300" w:lineRule="auto"/>
            </w:pPr>
            <w:r>
              <w:rPr>
                <w:b w:val="0"/>
                <w:sz w:val="16"/>
              </w:rPr>
              <w:t>s/p/d；束缚 n≤6 完整 rank2，n≤4 rank3；新增正能完整 rank1/rank2</w:t>
            </w:r>
          </w:p>
        </w:tc>
      </w:tr>
      <w:tr>
        <w:trPr>
          <w:cantSplit/>
        </w:trPr>
        <w:tc>
          <w:tcPr>
            <w:tcW w:type="dxa" w:w="4989"/>
          </w:tcPr>
          <w:p>
            <w:pPr>
              <w:spacing w:line="300" w:lineRule="auto"/>
            </w:pPr>
            <w:r>
              <w:rPr>
                <w:b w:val="0"/>
                <w:sz w:val="16"/>
              </w:rPr>
              <w:t>最新轨道数</w:t>
            </w:r>
          </w:p>
        </w:tc>
        <w:tc>
          <w:tcPr>
            <w:tcW w:type="dxa" w:w="4989"/>
          </w:tcPr>
          <w:p>
            <w:pPr>
              <w:spacing w:line="300" w:lineRule="auto"/>
            </w:pPr>
            <w:r>
              <w:rPr>
                <w:b w:val="0"/>
                <w:sz w:val="16"/>
              </w:rPr>
              <w:t>291，旧 271 轨道逐字节保留</w:t>
            </w:r>
          </w:p>
        </w:tc>
      </w:tr>
      <w:tr>
        <w:trPr>
          <w:cantSplit/>
        </w:trPr>
        <w:tc>
          <w:tcPr>
            <w:tcW w:type="dxa" w:w="4989"/>
          </w:tcPr>
          <w:p>
            <w:pPr>
              <w:spacing w:line="300" w:lineRule="auto"/>
            </w:pPr>
            <w:r>
              <w:rPr>
                <w:b w:val="0"/>
                <w:sz w:val="16"/>
              </w:rPr>
              <w:t>g/q/r CSF 数</w:t>
            </w:r>
          </w:p>
        </w:tc>
        <w:tc>
          <w:tcPr>
            <w:tcW w:type="dxa" w:w="4989"/>
          </w:tcPr>
          <w:p>
            <w:pPr>
              <w:spacing w:line="300" w:lineRule="auto"/>
            </w:pPr>
            <w:r>
              <w:rPr>
                <w:b w:val="0"/>
                <w:sz w:val="16"/>
              </w:rPr>
              <w:t>78791 / 114698 / 78790</w:t>
            </w:r>
          </w:p>
        </w:tc>
      </w:tr>
      <w:tr>
        <w:trPr>
          <w:cantSplit/>
        </w:trPr>
        <w:tc>
          <w:tcPr>
            <w:tcW w:type="dxa" w:w="4989"/>
          </w:tcPr>
          <w:p>
            <w:pPr>
              <w:spacing w:line="300" w:lineRule="auto"/>
            </w:pPr>
            <w:r>
              <w:rPr>
                <w:b w:val="0"/>
                <w:sz w:val="16"/>
              </w:rPr>
              <w:t>g/q/r 原始候选数</w:t>
            </w:r>
          </w:p>
        </w:tc>
        <w:tc>
          <w:tcPr>
            <w:tcW w:type="dxa" w:w="4989"/>
          </w:tcPr>
          <w:p>
            <w:pPr>
              <w:spacing w:line="300" w:lineRule="auto"/>
            </w:pPr>
            <w:r>
              <w:rPr>
                <w:b w:val="0"/>
                <w:sz w:val="16"/>
              </w:rPr>
              <w:t>338687 / 299935 / 349724</w:t>
            </w:r>
          </w:p>
        </w:tc>
      </w:tr>
      <w:tr>
        <w:trPr>
          <w:cantSplit/>
        </w:trPr>
        <w:tc>
          <w:tcPr>
            <w:tcW w:type="dxa" w:w="4989"/>
          </w:tcPr>
          <w:p>
            <w:pPr>
              <w:spacing w:line="300" w:lineRule="auto"/>
            </w:pPr>
            <w:r>
              <w:rPr>
                <w:b w:val="0"/>
                <w:sz w:val="16"/>
              </w:rPr>
              <w:t>数值门</w:t>
            </w:r>
          </w:p>
        </w:tc>
        <w:tc>
          <w:tcPr>
            <w:tcW w:type="dxa" w:w="4989"/>
          </w:tcPr>
          <w:p>
            <w:pPr>
              <w:spacing w:line="300" w:lineRule="auto"/>
            </w:pPr>
            <w:r>
              <w:rPr>
                <w:b w:val="0"/>
                <w:sz w:val="16"/>
              </w:rPr>
              <w:t>选态原算符绝对残差小于 10⁻¹⁰ Ha；固定有符号身份门</w:t>
            </w:r>
          </w:p>
        </w:tc>
      </w:tr>
      <w:tr>
        <w:trPr>
          <w:cantSplit/>
        </w:trPr>
        <w:tc>
          <w:tcPr>
            <w:tcW w:type="dxa" w:w="4989"/>
          </w:tcPr>
          <w:p>
            <w:pPr>
              <w:spacing w:line="300" w:lineRule="auto"/>
            </w:pPr>
            <w:r>
              <w:rPr>
                <w:b w:val="0"/>
                <w:sz w:val="16"/>
              </w:rPr>
              <w:t>计算资源策略</w:t>
            </w:r>
          </w:p>
        </w:tc>
        <w:tc>
          <w:tcPr>
            <w:tcW w:type="dxa" w:w="4989"/>
          </w:tcPr>
          <w:p>
            <w:pPr>
              <w:spacing w:line="300" w:lineRule="auto"/>
            </w:pPr>
            <w:r>
              <w:rPr>
                <w:b w:val="0"/>
                <w:sz w:val="16"/>
              </w:rPr>
              <w:t>大空间上限 130000 CSF、400000 raw；104 GiB 预算、24 工人、BLAS 单线程</w:t>
            </w:r>
          </w:p>
        </w:tc>
      </w:tr>
    </w:tbl>
    <w:p>
      <w:r>
        <w:t>所有物理计算绑定 332 个源码文件的快照，避免将后来工作树的变更混入旧结果。机器有其他负载，当前没有受控端到端加速比、模型调用费用或无人干预成功率结论。</w:t>
      </w:r>
    </w:p>
    <w:p>
      <w:pPr>
        <w:pStyle w:val="Heading2"/>
      </w:pPr>
      <w:r>
        <w:t>两层复核</w:t>
      </w:r>
    </w:p>
    <w:p>
      <w:r>
        <w:t>第一层是文档证据复核：本包保留 21 个逐字节复制的数值、协议、封存证明和图像文件，提供哈希索引与标准库验证脚本。它可以检查交付材料的来源、核心数值与完成状态。</w:t>
      </w:r>
    </w:p>
    <w:p>
      <w:r>
        <w:t>第二层是物理重放：完整源码、轨道、矩阵和失败原件保存在独立科学档案中，档案含 50834 个文件，最终逐文件复核通过。完整重放应复制档案到可写的新运行目录，并使用原环境和协议；不能在封存目录内直接运行会写缓存的物理入口。文档证据包不替代完整物理运行环境。</w:t>
      </w:r>
      <w:hyperlink r:id="rId38">
        <w:r>
          <w:rPr>
            <w:color w:val="24648B"/>
          </w:rPr>
          <w:t>封存证明</w:t>
        </w:r>
      </w:hyperlink>
      <w:r>
        <w:t>、</w:t>
      </w:r>
      <w:hyperlink r:id="rId39">
        <w:r>
          <w:rPr>
            <w:color w:val="24648B"/>
          </w:rPr>
          <w:t>证据索引</w:t>
        </w:r>
      </w:hyperlink>
    </w:p>
    <w:p>
      <w:r>
        <w:t>封存清单 SHA-256：</w:t>
      </w:r>
    </w:p>
    <w:p>
      <w:pPr>
        <w:spacing w:line="276" w:lineRule="auto"/>
      </w:pPr>
      <w:r>
        <w:rPr>
          <w:sz w:val="16"/>
        </w:rPr>
        <w:t>bbe79f26b9c354f371c749a2002a607a79f9af6ab0e25dff1ad996eb4b2b15e2</w:t>
      </w:r>
    </w:p>
    <w:p>
      <w:r>
        <w:t>当前完成标志为：有限模型数值控制通过；完整相关收敛为 False；物理极点认证为 False。这个状态随交付材料保留。</w:t>
      </w:r>
    </w:p>
    <w:p>
      <w:pPr>
        <w:pStyle w:val="Heading1"/>
      </w:pPr>
      <w:r>
        <w:t>Agentic Science 平台对应方式</w:t>
      </w:r>
    </w:p>
    <w:p>
      <w:pPr>
        <w:pStyle w:val="Heading2"/>
      </w:pPr>
      <w:r>
        <w:t>项目评审与官方赛题提交</w:t>
      </w:r>
    </w:p>
    <w:p>
      <w:r>
        <w:t>The Playground 将科学工作组织为挑战、尝试、轨迹和可调用的复现包，强调研究结果与执行过程的对应。Atomx 的假设、协议、计算、独立检查和失败归档可以映射到这一结构。</w:t>
      </w:r>
      <w:hyperlink r:id="rId40">
        <w:r>
          <w:rPr>
            <w:color w:val="24648B"/>
          </w:rPr>
          <w:t>平台入门</w:t>
        </w:r>
      </w:hyperlink>
      <w:r>
        <w:t>、</w:t>
      </w:r>
      <w:hyperlink r:id="rId41">
        <w:r>
          <w:rPr>
            <w:color w:val="24648B"/>
          </w:rPr>
          <w:t>轨迹说明</w:t>
        </w:r>
      </w:hyperlink>
    </w:p>
    <w:p>
      <w:r>
        <w:t>本项目主题由用户指定。2026 年 10 月 6 日读取的公开 hackathon 列表中，未发现同名“北京光源与未来产业”题目。官网 XAS-Sim2Real 可作为谱学方法的具体衔接案例，但其公开轮次结束时间为北京时间 2026 年 8 月 29 日 20:30。正式参赛需对应当期目标场次、题目和允许提交形式。</w:t>
      </w:r>
    </w:p>
    <w:p>
      <w:r>
        <w:t>该 XAS 题目要求模拟谱与实验谱双向映射，规定输入输出、数据隔离和运行预算。题面描述数值评分，而当前 API 的评分字段显示通用 ARM 策略，两者存在需要主办方确认的差异。不能把本项目的原子谱学成绩转换成该题分数，也不能凭文档推断正式成绩。</w:t>
      </w:r>
      <w:hyperlink r:id="rId12">
        <w:r>
          <w:rPr>
            <w:color w:val="24648B"/>
          </w:rPr>
          <w:t>题目及当前评分字段</w:t>
        </w:r>
      </w:hyperlink>
    </w:p>
    <w:p>
      <w:pPr>
        <w:pStyle w:val="Heading2"/>
      </w:pPr>
      <w:r>
        <w:t>参赛材料组织</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交付内容</w:t>
            </w:r>
          </w:p>
        </w:tc>
        <w:tc>
          <w:tcPr>
            <w:tcW w:type="dxa" w:w="3326"/>
          </w:tcPr>
          <w:p>
            <w:pPr>
              <w:spacing w:line="300" w:lineRule="auto"/>
            </w:pPr>
            <w:r>
              <w:rPr>
                <w:b/>
                <w:sz w:val="16"/>
              </w:rPr>
              <w:t>目前可提供</w:t>
            </w:r>
          </w:p>
        </w:tc>
        <w:tc>
          <w:tcPr>
            <w:tcW w:type="dxa" w:w="3326"/>
          </w:tcPr>
          <w:p>
            <w:pPr>
              <w:spacing w:line="300" w:lineRule="auto"/>
            </w:pPr>
            <w:r>
              <w:rPr>
                <w:b/>
                <w:sz w:val="16"/>
              </w:rPr>
              <w:t>正式可执行提交需要补充</w:t>
            </w:r>
          </w:p>
        </w:tc>
      </w:tr>
      <w:tr>
        <w:trPr>
          <w:cantSplit/>
        </w:trPr>
        <w:tc>
          <w:tcPr>
            <w:tcW w:type="dxa" w:w="3326"/>
          </w:tcPr>
          <w:p>
            <w:pPr>
              <w:spacing w:line="300" w:lineRule="auto"/>
            </w:pPr>
            <w:r>
              <w:rPr>
                <w:b w:val="0"/>
                <w:sz w:val="16"/>
              </w:rPr>
              <w:t>科学结论</w:t>
            </w:r>
          </w:p>
        </w:tc>
        <w:tc>
          <w:tcPr>
            <w:tcW w:type="dxa" w:w="3326"/>
          </w:tcPr>
          <w:p>
            <w:pPr>
              <w:spacing w:line="300" w:lineRule="auto"/>
            </w:pPr>
            <w:r>
              <w:rPr>
                <w:b w:val="0"/>
                <w:sz w:val="16"/>
              </w:rPr>
              <w:t>同条件测量、判别表、适用边界</w:t>
            </w:r>
          </w:p>
        </w:tc>
        <w:tc>
          <w:tcPr>
            <w:tcW w:type="dxa" w:w="3326"/>
          </w:tcPr>
          <w:p>
            <w:pPr>
              <w:spacing w:line="300" w:lineRule="auto"/>
            </w:pPr>
            <w:r>
              <w:rPr>
                <w:b w:val="0"/>
                <w:sz w:val="16"/>
              </w:rPr>
              <w:t>对应目标赛题的最终交付物</w:t>
            </w:r>
          </w:p>
        </w:tc>
      </w:tr>
      <w:tr>
        <w:trPr>
          <w:cantSplit/>
        </w:trPr>
        <w:tc>
          <w:tcPr>
            <w:tcW w:type="dxa" w:w="3326"/>
          </w:tcPr>
          <w:p>
            <w:pPr>
              <w:spacing w:line="300" w:lineRule="auto"/>
            </w:pPr>
            <w:r>
              <w:rPr>
                <w:b w:val="0"/>
                <w:sz w:val="16"/>
              </w:rPr>
              <w:t>数值结果</w:t>
            </w:r>
          </w:p>
        </w:tc>
        <w:tc>
          <w:tcPr>
            <w:tcW w:type="dxa" w:w="3326"/>
          </w:tcPr>
          <w:p>
            <w:pPr>
              <w:spacing w:line="300" w:lineRule="auto"/>
            </w:pPr>
            <w:r>
              <w:rPr>
                <w:b w:val="0"/>
                <w:sz w:val="16"/>
              </w:rPr>
              <w:t>JSON、谱位、响应、验证状态</w:t>
            </w:r>
          </w:p>
        </w:tc>
        <w:tc>
          <w:tcPr>
            <w:tcW w:type="dxa" w:w="3326"/>
          </w:tcPr>
          <w:p>
            <w:pPr>
              <w:spacing w:line="300" w:lineRule="auto"/>
            </w:pPr>
            <w:r>
              <w:rPr>
                <w:b w:val="0"/>
                <w:sz w:val="16"/>
              </w:rPr>
              <w:t>新任务的合法输出与重复运行结果</w:t>
            </w:r>
          </w:p>
        </w:tc>
      </w:tr>
      <w:tr>
        <w:trPr>
          <w:cantSplit/>
        </w:trPr>
        <w:tc>
          <w:tcPr>
            <w:tcW w:type="dxa" w:w="3326"/>
          </w:tcPr>
          <w:p>
            <w:pPr>
              <w:spacing w:line="300" w:lineRule="auto"/>
            </w:pPr>
            <w:r>
              <w:rPr>
                <w:b w:val="0"/>
                <w:sz w:val="16"/>
              </w:rPr>
              <w:t>研究轨迹</w:t>
            </w:r>
          </w:p>
        </w:tc>
        <w:tc>
          <w:tcPr>
            <w:tcW w:type="dxa" w:w="3326"/>
          </w:tcPr>
          <w:p>
            <w:pPr>
              <w:spacing w:line="300" w:lineRule="auto"/>
            </w:pPr>
            <w:r>
              <w:rPr>
                <w:b w:val="0"/>
                <w:sz w:val="16"/>
              </w:rPr>
              <w:t>原协议、日志索引、失败与重试证据</w:t>
            </w:r>
          </w:p>
        </w:tc>
        <w:tc>
          <w:tcPr>
            <w:tcW w:type="dxa" w:w="3326"/>
          </w:tcPr>
          <w:p>
            <w:pPr>
              <w:spacing w:line="300" w:lineRule="auto"/>
            </w:pPr>
            <w:r>
              <w:rPr>
                <w:b w:val="0"/>
                <w:sz w:val="16"/>
              </w:rPr>
              <w:t>平台要求的真实原始 agent 轨迹格式</w:t>
            </w:r>
          </w:p>
        </w:tc>
      </w:tr>
      <w:tr>
        <w:trPr>
          <w:cantSplit/>
        </w:trPr>
        <w:tc>
          <w:tcPr>
            <w:tcW w:type="dxa" w:w="3326"/>
          </w:tcPr>
          <w:p>
            <w:pPr>
              <w:spacing w:line="300" w:lineRule="auto"/>
            </w:pPr>
            <w:r>
              <w:rPr>
                <w:b w:val="0"/>
                <w:sz w:val="16"/>
              </w:rPr>
              <w:t>执行环境</w:t>
            </w:r>
          </w:p>
        </w:tc>
        <w:tc>
          <w:tcPr>
            <w:tcW w:type="dxa" w:w="3326"/>
          </w:tcPr>
          <w:p>
            <w:pPr>
              <w:spacing w:line="300" w:lineRule="auto"/>
            </w:pPr>
            <w:r>
              <w:rPr>
                <w:b w:val="0"/>
                <w:sz w:val="16"/>
              </w:rPr>
              <w:t>物理源码快照和原环境记录</w:t>
            </w:r>
          </w:p>
        </w:tc>
        <w:tc>
          <w:tcPr>
            <w:tcW w:type="dxa" w:w="3326"/>
          </w:tcPr>
          <w:p>
            <w:pPr>
              <w:spacing w:line="300" w:lineRule="auto"/>
            </w:pPr>
            <w:r>
              <w:rPr>
                <w:b w:val="0"/>
                <w:sz w:val="16"/>
              </w:rPr>
              <w:t>可分发依赖锁、容器与可执行入口</w:t>
            </w:r>
          </w:p>
        </w:tc>
      </w:tr>
      <w:tr>
        <w:trPr>
          <w:cantSplit/>
        </w:trPr>
        <w:tc>
          <w:tcPr>
            <w:tcW w:type="dxa" w:w="3326"/>
          </w:tcPr>
          <w:p>
            <w:pPr>
              <w:spacing w:line="300" w:lineRule="auto"/>
            </w:pPr>
            <w:r>
              <w:rPr>
                <w:b w:val="0"/>
                <w:sz w:val="16"/>
              </w:rPr>
              <w:t>结果特征</w:t>
            </w:r>
          </w:p>
        </w:tc>
        <w:tc>
          <w:tcPr>
            <w:tcW w:type="dxa" w:w="3326"/>
          </w:tcPr>
          <w:p>
            <w:pPr>
              <w:spacing w:line="300" w:lineRule="auto"/>
            </w:pPr>
            <w:r>
              <w:rPr>
                <w:b w:val="0"/>
                <w:sz w:val="16"/>
              </w:rPr>
              <w:t>已知偏差、未完成空间、失败条件</w:t>
            </w:r>
          </w:p>
        </w:tc>
        <w:tc>
          <w:tcPr>
            <w:tcW w:type="dxa" w:w="3326"/>
          </w:tcPr>
          <w:p>
            <w:pPr>
              <w:spacing w:line="300" w:lineRule="auto"/>
            </w:pPr>
            <w:r>
              <w:rPr>
                <w:b w:val="0"/>
                <w:sz w:val="16"/>
              </w:rPr>
              <w:t>按当前平台协议建立 characterization</w:t>
            </w:r>
          </w:p>
        </w:tc>
      </w:tr>
    </w:tbl>
    <w:p>
      <w:r>
        <w:t>平台 ARM 文档提供了执行、结果特征和轨迹等交付约定。正式上传前应使用当前协议进行本地格式校验，并确认题目需要的文件路径；平台结构校验通过与物理结果可信属于两个独立检查。</w:t>
      </w:r>
      <w:hyperlink r:id="rId42">
        <w:r>
          <w:rPr>
            <w:color w:val="24648B"/>
          </w:rPr>
          <w:t>ARM 交付说明</w:t>
        </w:r>
      </w:hyperlink>
    </w:p>
    <w:p>
      <w:pPr>
        <w:pStyle w:val="Heading1"/>
      </w:pPr>
      <w:r>
        <w:t>面向未来产业的实施方案</w:t>
      </w:r>
    </w:p>
    <w:p>
      <w:pPr>
        <w:pStyle w:val="Heading2"/>
      </w:pPr>
      <w:r>
        <w:t>首个场景为能源材料谱学</w:t>
      </w:r>
    </w:p>
    <w:p>
      <w:r>
        <w:t>拟议试点选择一类具有公开标准样或可合法共享实验谱的电极或催化材料，首先解决“模拟谱和实验谱为何不同”，再评估材料问题。数据必须附带吸收元素与边、设施和线站、测量模式、能量轴、归一化方法、实验响应、样品状态和使用许可。</w:t>
      </w:r>
    </w:p>
    <w:p>
      <w:r>
        <w:t>谱学映射在材料环境、仪器和计算模型之间可能出现域差异。拟议工作流采用以下明确对照：</w:t>
      </w:r>
    </w:p>
    <w:tbl>
      <w:tblPr>
        <w:tblStyle w:val="TableGrid"/>
        <w:tblW w:type="auto" w:w="0"/>
        <w:tblLook w:firstColumn="1" w:firstRow="1" w:lastColumn="0" w:lastRow="0" w:noHBand="0" w:noVBand="1" w:val="04A0"/>
      </w:tblPr>
      <w:tblGrid>
        <w:gridCol w:w="2494"/>
        <w:gridCol w:w="2494"/>
        <w:gridCol w:w="2494"/>
        <w:gridCol w:w="2494"/>
      </w:tblGrid>
      <w:tr>
        <w:trPr>
          <w:cantSplit/>
          <w:tblHeader/>
        </w:trPr>
        <w:tc>
          <w:tcPr>
            <w:tcW w:type="dxa" w:w="2494"/>
          </w:tcPr>
          <w:p>
            <w:pPr>
              <w:spacing w:line="300" w:lineRule="auto"/>
            </w:pPr>
            <w:r>
              <w:rPr>
                <w:b/>
                <w:sz w:val="16"/>
              </w:rPr>
              <w:t>待判别因素</w:t>
            </w:r>
          </w:p>
        </w:tc>
        <w:tc>
          <w:tcPr>
            <w:tcW w:type="dxa" w:w="2494"/>
          </w:tcPr>
          <w:p>
            <w:pPr>
              <w:spacing w:line="300" w:lineRule="auto"/>
            </w:pPr>
            <w:r>
              <w:rPr>
                <w:b/>
                <w:sz w:val="16"/>
              </w:rPr>
              <w:t>固定条件与干预</w:t>
            </w:r>
          </w:p>
        </w:tc>
        <w:tc>
          <w:tcPr>
            <w:tcW w:type="dxa" w:w="2494"/>
          </w:tcPr>
          <w:p>
            <w:pPr>
              <w:spacing w:line="300" w:lineRule="auto"/>
            </w:pPr>
            <w:r>
              <w:rPr>
                <w:b/>
                <w:sz w:val="16"/>
              </w:rPr>
              <w:t>观察量</w:t>
            </w:r>
          </w:p>
        </w:tc>
        <w:tc>
          <w:tcPr>
            <w:tcW w:type="dxa" w:w="2494"/>
          </w:tcPr>
          <w:p>
            <w:pPr>
              <w:spacing w:line="300" w:lineRule="auto"/>
            </w:pPr>
            <w:r>
              <w:rPr>
                <w:b/>
                <w:sz w:val="16"/>
              </w:rPr>
              <w:t>可以支持的结论</w:t>
            </w:r>
          </w:p>
        </w:tc>
      </w:tr>
      <w:tr>
        <w:trPr>
          <w:cantSplit/>
        </w:trPr>
        <w:tc>
          <w:tcPr>
            <w:tcW w:type="dxa" w:w="2494"/>
          </w:tcPr>
          <w:p>
            <w:pPr>
              <w:spacing w:line="300" w:lineRule="auto"/>
            </w:pPr>
            <w:r>
              <w:rPr>
                <w:b w:val="0"/>
                <w:sz w:val="16"/>
              </w:rPr>
              <w:t>能量零点</w:t>
            </w:r>
          </w:p>
        </w:tc>
        <w:tc>
          <w:tcPr>
            <w:tcW w:type="dxa" w:w="2494"/>
          </w:tcPr>
          <w:p>
            <w:pPr>
              <w:spacing w:line="300" w:lineRule="auto"/>
            </w:pPr>
            <w:r>
              <w:rPr>
                <w:b w:val="0"/>
                <w:sz w:val="16"/>
              </w:rPr>
              <w:t>固定谱形，按预声明规则改变对齐方式</w:t>
            </w:r>
          </w:p>
        </w:tc>
        <w:tc>
          <w:tcPr>
            <w:tcW w:type="dxa" w:w="2494"/>
          </w:tcPr>
          <w:p>
            <w:pPr>
              <w:spacing w:line="300" w:lineRule="auto"/>
            </w:pPr>
            <w:r>
              <w:rPr>
                <w:b w:val="0"/>
                <w:sz w:val="16"/>
              </w:rPr>
              <w:t>峰位误差、导数误差、残差随能量变化</w:t>
            </w:r>
          </w:p>
        </w:tc>
        <w:tc>
          <w:tcPr>
            <w:tcW w:type="dxa" w:w="2494"/>
          </w:tcPr>
          <w:p>
            <w:pPr>
              <w:spacing w:line="300" w:lineRule="auto"/>
            </w:pPr>
            <w:r>
              <w:rPr>
                <w:b w:val="0"/>
                <w:sz w:val="16"/>
              </w:rPr>
              <w:t>对齐差异是否解释主要偏移</w:t>
            </w:r>
          </w:p>
        </w:tc>
      </w:tr>
      <w:tr>
        <w:trPr>
          <w:cantSplit/>
        </w:trPr>
        <w:tc>
          <w:tcPr>
            <w:tcW w:type="dxa" w:w="2494"/>
          </w:tcPr>
          <w:p>
            <w:pPr>
              <w:spacing w:line="300" w:lineRule="auto"/>
            </w:pPr>
            <w:r>
              <w:rPr>
                <w:b w:val="0"/>
                <w:sz w:val="16"/>
              </w:rPr>
              <w:t>仪器展宽</w:t>
            </w:r>
          </w:p>
        </w:tc>
        <w:tc>
          <w:tcPr>
            <w:tcW w:type="dxa" w:w="2494"/>
          </w:tcPr>
          <w:p>
            <w:pPr>
              <w:spacing w:line="300" w:lineRule="auto"/>
            </w:pPr>
            <w:r>
              <w:rPr>
                <w:b w:val="0"/>
                <w:sz w:val="16"/>
              </w:rPr>
              <w:t>固定材料模型，采用已知或独立测量的响应卷积</w:t>
            </w:r>
          </w:p>
        </w:tc>
        <w:tc>
          <w:tcPr>
            <w:tcW w:type="dxa" w:w="2494"/>
          </w:tcPr>
          <w:p>
            <w:pPr>
              <w:spacing w:line="300" w:lineRule="auto"/>
            </w:pPr>
            <w:r>
              <w:rPr>
                <w:b w:val="0"/>
                <w:sz w:val="16"/>
              </w:rPr>
              <w:t>峰宽与谱形残差</w:t>
            </w:r>
          </w:p>
        </w:tc>
        <w:tc>
          <w:tcPr>
            <w:tcW w:type="dxa" w:w="2494"/>
          </w:tcPr>
          <w:p>
            <w:pPr>
              <w:spacing w:line="300" w:lineRule="auto"/>
            </w:pPr>
            <w:r>
              <w:rPr>
                <w:b w:val="0"/>
                <w:sz w:val="16"/>
              </w:rPr>
              <w:t>响应模型是否解释展宽差异</w:t>
            </w:r>
          </w:p>
        </w:tc>
      </w:tr>
      <w:tr>
        <w:trPr>
          <w:cantSplit/>
        </w:trPr>
        <w:tc>
          <w:tcPr>
            <w:tcW w:type="dxa" w:w="2494"/>
          </w:tcPr>
          <w:p>
            <w:pPr>
              <w:spacing w:line="300" w:lineRule="auto"/>
            </w:pPr>
            <w:r>
              <w:rPr>
                <w:b w:val="0"/>
                <w:sz w:val="16"/>
              </w:rPr>
              <w:t>归一化与模式</w:t>
            </w:r>
          </w:p>
        </w:tc>
        <w:tc>
          <w:tcPr>
            <w:tcW w:type="dxa" w:w="2494"/>
          </w:tcPr>
          <w:p>
            <w:pPr>
              <w:spacing w:line="300" w:lineRule="auto"/>
            </w:pPr>
            <w:r>
              <w:rPr>
                <w:b w:val="0"/>
                <w:sz w:val="16"/>
              </w:rPr>
              <w:t>保留原谱和处理记录，比较合法的一致处理</w:t>
            </w:r>
          </w:p>
        </w:tc>
        <w:tc>
          <w:tcPr>
            <w:tcW w:type="dxa" w:w="2494"/>
          </w:tcPr>
          <w:p>
            <w:pPr>
              <w:spacing w:line="300" w:lineRule="auto"/>
            </w:pPr>
            <w:r>
              <w:rPr>
                <w:b w:val="0"/>
                <w:sz w:val="16"/>
              </w:rPr>
              <w:t>强度比例与基线残差</w:t>
            </w:r>
          </w:p>
        </w:tc>
        <w:tc>
          <w:tcPr>
            <w:tcW w:type="dxa" w:w="2494"/>
          </w:tcPr>
          <w:p>
            <w:pPr>
              <w:spacing w:line="300" w:lineRule="auto"/>
            </w:pPr>
            <w:r>
              <w:rPr>
                <w:b w:val="0"/>
                <w:sz w:val="16"/>
              </w:rPr>
              <w:t>处理或模式差异是否显著</w:t>
            </w:r>
          </w:p>
        </w:tc>
      </w:tr>
      <w:tr>
        <w:trPr>
          <w:cantSplit/>
        </w:trPr>
        <w:tc>
          <w:tcPr>
            <w:tcW w:type="dxa" w:w="2494"/>
          </w:tcPr>
          <w:p>
            <w:pPr>
              <w:spacing w:line="300" w:lineRule="auto"/>
            </w:pPr>
            <w:r>
              <w:rPr>
                <w:b w:val="0"/>
                <w:sz w:val="16"/>
              </w:rPr>
              <w:t>计算模型</w:t>
            </w:r>
          </w:p>
        </w:tc>
        <w:tc>
          <w:tcPr>
            <w:tcW w:type="dxa" w:w="2494"/>
          </w:tcPr>
          <w:p>
            <w:pPr>
              <w:spacing w:line="300" w:lineRule="auto"/>
            </w:pPr>
            <w:r>
              <w:rPr>
                <w:b w:val="0"/>
                <w:sz w:val="16"/>
              </w:rPr>
              <w:t>固定结构、数据和展宽，替换明确的模型假设</w:t>
            </w:r>
          </w:p>
        </w:tc>
        <w:tc>
          <w:tcPr>
            <w:tcW w:type="dxa" w:w="2494"/>
          </w:tcPr>
          <w:p>
            <w:pPr>
              <w:spacing w:line="300" w:lineRule="auto"/>
            </w:pPr>
            <w:r>
              <w:rPr>
                <w:b w:val="0"/>
                <w:sz w:val="16"/>
              </w:rPr>
              <w:t>预定义数值指标与区域残差</w:t>
            </w:r>
          </w:p>
        </w:tc>
        <w:tc>
          <w:tcPr>
            <w:tcW w:type="dxa" w:w="2494"/>
          </w:tcPr>
          <w:p>
            <w:pPr>
              <w:spacing w:line="300" w:lineRule="auto"/>
            </w:pPr>
            <w:r>
              <w:rPr>
                <w:b w:val="0"/>
                <w:sz w:val="16"/>
              </w:rPr>
              <w:t>某模型在该数据范围是否更合适</w:t>
            </w:r>
          </w:p>
        </w:tc>
      </w:tr>
      <w:tr>
        <w:trPr>
          <w:cantSplit/>
        </w:trPr>
        <w:tc>
          <w:tcPr>
            <w:tcW w:type="dxa" w:w="2494"/>
          </w:tcPr>
          <w:p>
            <w:pPr>
              <w:spacing w:line="300" w:lineRule="auto"/>
            </w:pPr>
            <w:r>
              <w:rPr>
                <w:b w:val="0"/>
                <w:sz w:val="16"/>
              </w:rPr>
              <w:t>样品与结构</w:t>
            </w:r>
          </w:p>
        </w:tc>
        <w:tc>
          <w:tcPr>
            <w:tcW w:type="dxa" w:w="2494"/>
          </w:tcPr>
          <w:p>
            <w:pPr>
              <w:spacing w:line="300" w:lineRule="auto"/>
            </w:pPr>
            <w:r>
              <w:rPr>
                <w:b w:val="0"/>
                <w:sz w:val="16"/>
              </w:rPr>
              <w:t>固定测量条件，用独立结构信息建立竞争样品模型</w:t>
            </w:r>
          </w:p>
        </w:tc>
        <w:tc>
          <w:tcPr>
            <w:tcW w:type="dxa" w:w="2494"/>
          </w:tcPr>
          <w:p>
            <w:pPr>
              <w:spacing w:line="300" w:lineRule="auto"/>
            </w:pPr>
            <w:r>
              <w:rPr>
                <w:b w:val="0"/>
                <w:sz w:val="16"/>
              </w:rPr>
              <w:t>未用于拟合的谱段或独立观测</w:t>
            </w:r>
          </w:p>
        </w:tc>
        <w:tc>
          <w:tcPr>
            <w:tcW w:type="dxa" w:w="2494"/>
          </w:tcPr>
          <w:p>
            <w:pPr>
              <w:spacing w:line="300" w:lineRule="auto"/>
            </w:pPr>
            <w:r>
              <w:rPr>
                <w:b w:val="0"/>
                <w:sz w:val="16"/>
              </w:rPr>
              <w:t>某解释是否获得额外支持</w:t>
            </w:r>
          </w:p>
        </w:tc>
      </w:tr>
    </w:tbl>
    <w:p>
      <w:r>
        <w:t>模型选择只使用训练与验证数据；测试集和目标谱保持隔离。评分题若预先规定了归一化和能量网格，工作流须遵守该题契约，不能额外改变数据以提高分数。</w:t>
      </w:r>
    </w:p>
    <w:p>
      <w:r>
        <w:t>试点交付四项结果：双向谱域映射基线、按材料分组的验证报告、因素干预与残差说明，以及可复核的数据和执行来源。谱到谱预测不自动构成结构反演或物相唯一识别，机理结论需要独立证据。</w:t>
      </w:r>
    </w:p>
    <w:p>
      <w:pPr>
        <w:pStyle w:val="Heading2"/>
      </w:pPr>
      <w:r>
        <w:t>后续产业场景</w:t>
      </w:r>
    </w:p>
    <w:tbl>
      <w:tblPr>
        <w:tblStyle w:val="TableGrid"/>
        <w:tblW w:type="auto" w:w="0"/>
        <w:tblLook w:firstColumn="1" w:firstRow="1" w:lastColumn="0" w:lastRow="0" w:noHBand="0" w:noVBand="1" w:val="04A0"/>
      </w:tblPr>
      <w:tblGrid>
        <w:gridCol w:w="2494"/>
        <w:gridCol w:w="2494"/>
        <w:gridCol w:w="2494"/>
        <w:gridCol w:w="2494"/>
      </w:tblGrid>
      <w:tr>
        <w:trPr>
          <w:cantSplit/>
          <w:tblHeader/>
        </w:trPr>
        <w:tc>
          <w:tcPr>
            <w:tcW w:type="dxa" w:w="2494"/>
          </w:tcPr>
          <w:p>
            <w:pPr>
              <w:spacing w:line="300" w:lineRule="auto"/>
            </w:pPr>
            <w:r>
              <w:rPr>
                <w:b/>
                <w:sz w:val="16"/>
              </w:rPr>
              <w:t>场景</w:t>
            </w:r>
          </w:p>
        </w:tc>
        <w:tc>
          <w:tcPr>
            <w:tcW w:type="dxa" w:w="2494"/>
          </w:tcPr>
          <w:p>
            <w:pPr>
              <w:spacing w:line="300" w:lineRule="auto"/>
            </w:pPr>
            <w:r>
              <w:rPr>
                <w:b/>
                <w:sz w:val="16"/>
              </w:rPr>
              <w:t>拟解决的问题</w:t>
            </w:r>
          </w:p>
        </w:tc>
        <w:tc>
          <w:tcPr>
            <w:tcW w:type="dxa" w:w="2494"/>
          </w:tcPr>
          <w:p>
            <w:pPr>
              <w:spacing w:line="300" w:lineRule="auto"/>
            </w:pPr>
            <w:r>
              <w:rPr>
                <w:b/>
                <w:sz w:val="16"/>
              </w:rPr>
              <w:t>所需新增验证</w:t>
            </w:r>
          </w:p>
        </w:tc>
        <w:tc>
          <w:tcPr>
            <w:tcW w:type="dxa" w:w="2494"/>
          </w:tcPr>
          <w:p>
            <w:pPr>
              <w:spacing w:line="300" w:lineRule="auto"/>
            </w:pPr>
            <w:r>
              <w:rPr>
                <w:b/>
                <w:sz w:val="16"/>
              </w:rPr>
              <w:t>面向用户的交付</w:t>
            </w:r>
          </w:p>
        </w:tc>
      </w:tr>
      <w:tr>
        <w:trPr>
          <w:cantSplit/>
        </w:trPr>
        <w:tc>
          <w:tcPr>
            <w:tcW w:type="dxa" w:w="2494"/>
          </w:tcPr>
          <w:p>
            <w:pPr>
              <w:spacing w:line="300" w:lineRule="auto"/>
            </w:pPr>
            <w:r>
              <w:rPr>
                <w:b w:val="0"/>
                <w:sz w:val="16"/>
              </w:rPr>
              <w:t>电池与催化材料</w:t>
            </w:r>
          </w:p>
        </w:tc>
        <w:tc>
          <w:tcPr>
            <w:tcW w:type="dxa" w:w="2494"/>
          </w:tcPr>
          <w:p>
            <w:pPr>
              <w:spacing w:line="300" w:lineRule="auto"/>
            </w:pPr>
            <w:r>
              <w:rPr>
                <w:b w:val="0"/>
                <w:sz w:val="16"/>
              </w:rPr>
              <w:t>区分谱形变化与处理、仪器、局域环境因素</w:t>
            </w:r>
          </w:p>
        </w:tc>
        <w:tc>
          <w:tcPr>
            <w:tcW w:type="dxa" w:w="2494"/>
          </w:tcPr>
          <w:p>
            <w:pPr>
              <w:spacing w:line="300" w:lineRule="auto"/>
            </w:pPr>
            <w:r>
              <w:rPr>
                <w:b w:val="0"/>
                <w:sz w:val="16"/>
              </w:rPr>
              <w:t>标准样、条件匹配、独立局域结构信息</w:t>
            </w:r>
          </w:p>
        </w:tc>
        <w:tc>
          <w:tcPr>
            <w:tcW w:type="dxa" w:w="2494"/>
          </w:tcPr>
          <w:p>
            <w:pPr>
              <w:spacing w:line="300" w:lineRule="auto"/>
            </w:pPr>
            <w:r>
              <w:rPr>
                <w:b w:val="0"/>
                <w:sz w:val="16"/>
              </w:rPr>
              <w:t>偏差诊断、适用范围、后续测量建议</w:t>
            </w:r>
          </w:p>
        </w:tc>
      </w:tr>
      <w:tr>
        <w:trPr>
          <w:cantSplit/>
        </w:trPr>
        <w:tc>
          <w:tcPr>
            <w:tcW w:type="dxa" w:w="2494"/>
          </w:tcPr>
          <w:p>
            <w:pPr>
              <w:spacing w:line="300" w:lineRule="auto"/>
            </w:pPr>
            <w:r>
              <w:rPr>
                <w:b w:val="0"/>
                <w:sz w:val="16"/>
              </w:rPr>
              <w:t>半导体与功能材料</w:t>
            </w:r>
          </w:p>
        </w:tc>
        <w:tc>
          <w:tcPr>
            <w:tcW w:type="dxa" w:w="2494"/>
          </w:tcPr>
          <w:p>
            <w:pPr>
              <w:spacing w:line="300" w:lineRule="auto"/>
            </w:pPr>
            <w:r>
              <w:rPr>
                <w:b w:val="0"/>
                <w:sz w:val="16"/>
              </w:rPr>
              <w:t>判断模型是否支持电子态或界面差异解释</w:t>
            </w:r>
          </w:p>
        </w:tc>
        <w:tc>
          <w:tcPr>
            <w:tcW w:type="dxa" w:w="2494"/>
          </w:tcPr>
          <w:p>
            <w:pPr>
              <w:spacing w:line="300" w:lineRule="auto"/>
            </w:pPr>
            <w:r>
              <w:rPr>
                <w:b w:val="0"/>
                <w:sz w:val="16"/>
              </w:rPr>
              <w:t>材料环境、芯空穴与响应模型、对照样品</w:t>
            </w:r>
          </w:p>
        </w:tc>
        <w:tc>
          <w:tcPr>
            <w:tcW w:type="dxa" w:w="2494"/>
          </w:tcPr>
          <w:p>
            <w:pPr>
              <w:spacing w:line="300" w:lineRule="auto"/>
            </w:pPr>
            <w:r>
              <w:rPr>
                <w:b w:val="0"/>
                <w:sz w:val="16"/>
              </w:rPr>
              <w:t>有证据支撑的竞争解释与计算记录</w:t>
            </w:r>
          </w:p>
        </w:tc>
      </w:tr>
      <w:tr>
        <w:trPr>
          <w:cantSplit/>
        </w:trPr>
        <w:tc>
          <w:tcPr>
            <w:tcW w:type="dxa" w:w="2494"/>
          </w:tcPr>
          <w:p>
            <w:pPr>
              <w:spacing w:line="300" w:lineRule="auto"/>
            </w:pPr>
            <w:r>
              <w:rPr>
                <w:b w:val="0"/>
                <w:sz w:val="16"/>
              </w:rPr>
              <w:t>量子与先进材料</w:t>
            </w:r>
          </w:p>
        </w:tc>
        <w:tc>
          <w:tcPr>
            <w:tcW w:type="dxa" w:w="2494"/>
          </w:tcPr>
          <w:p>
            <w:pPr>
              <w:spacing w:line="300" w:lineRule="auto"/>
            </w:pPr>
            <w:r>
              <w:rPr>
                <w:b w:val="0"/>
                <w:sz w:val="16"/>
              </w:rPr>
              <w:t>评估 RIXS 等谱学模型及其参数敏感性</w:t>
            </w:r>
          </w:p>
        </w:tc>
        <w:tc>
          <w:tcPr>
            <w:tcW w:type="dxa" w:w="2494"/>
          </w:tcPr>
          <w:p>
            <w:pPr>
              <w:spacing w:line="300" w:lineRule="auto"/>
            </w:pPr>
            <w:r>
              <w:rPr>
                <w:b w:val="0"/>
                <w:sz w:val="16"/>
              </w:rPr>
              <w:t>对应多体模型、动量与偏振契约、实验分辨</w:t>
            </w:r>
          </w:p>
        </w:tc>
        <w:tc>
          <w:tcPr>
            <w:tcW w:type="dxa" w:w="2494"/>
          </w:tcPr>
          <w:p>
            <w:pPr>
              <w:spacing w:line="300" w:lineRule="auto"/>
            </w:pPr>
            <w:r>
              <w:rPr>
                <w:b w:val="0"/>
                <w:sz w:val="16"/>
              </w:rPr>
              <w:t>可重复的模型比较与敏感性结果</w:t>
            </w:r>
          </w:p>
        </w:tc>
      </w:tr>
    </w:tbl>
    <w:p>
      <w:r>
        <w:t>这些场景属于拟议扩展。当前 Atomx 少电子原子结果没有完成上述材料应用验证，项目也未建立已签约企业、实际节省机时或工业生产指标。</w:t>
      </w:r>
    </w:p>
    <w:p>
      <w:pPr>
        <w:pStyle w:val="Heading1"/>
      </w:pPr>
      <w:r>
        <w:t>验收指标与对照评测</w:t>
      </w:r>
    </w:p>
    <w:p>
      <w:pPr>
        <w:pStyle w:val="Heading2"/>
      </w:pPr>
      <w:r>
        <w:t>三类指标分别验收</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指标类别</w:t>
            </w:r>
          </w:p>
        </w:tc>
        <w:tc>
          <w:tcPr>
            <w:tcW w:type="dxa" w:w="3326"/>
          </w:tcPr>
          <w:p>
            <w:pPr>
              <w:spacing w:line="300" w:lineRule="auto"/>
            </w:pPr>
            <w:r>
              <w:rPr>
                <w:b/>
                <w:sz w:val="16"/>
              </w:rPr>
              <w:t>当前实测或计划指标</w:t>
            </w:r>
          </w:p>
        </w:tc>
        <w:tc>
          <w:tcPr>
            <w:tcW w:type="dxa" w:w="3326"/>
          </w:tcPr>
          <w:p>
            <w:pPr>
              <w:spacing w:line="300" w:lineRule="auto"/>
            </w:pPr>
            <w:r>
              <w:rPr>
                <w:b/>
                <w:sz w:val="16"/>
              </w:rPr>
              <w:t>验收解释</w:t>
            </w:r>
          </w:p>
        </w:tc>
      </w:tr>
      <w:tr>
        <w:trPr>
          <w:cantSplit/>
        </w:trPr>
        <w:tc>
          <w:tcPr>
            <w:tcW w:type="dxa" w:w="3326"/>
          </w:tcPr>
          <w:p>
            <w:pPr>
              <w:spacing w:line="300" w:lineRule="auto"/>
            </w:pPr>
            <w:r>
              <w:rPr>
                <w:b w:val="0"/>
                <w:sz w:val="16"/>
              </w:rPr>
              <w:t>数值正确性</w:t>
            </w:r>
          </w:p>
        </w:tc>
        <w:tc>
          <w:tcPr>
            <w:tcW w:type="dxa" w:w="3326"/>
          </w:tcPr>
          <w:p>
            <w:pPr>
              <w:spacing w:line="300" w:lineRule="auto"/>
            </w:pPr>
            <w:r>
              <w:rPr>
                <w:b w:val="0"/>
                <w:sz w:val="16"/>
              </w:rPr>
              <w:t>残差、完整键、符号、输入及源码一致性、独立重放</w:t>
            </w:r>
          </w:p>
        </w:tc>
        <w:tc>
          <w:tcPr>
            <w:tcW w:type="dxa" w:w="3326"/>
          </w:tcPr>
          <w:p>
            <w:pPr>
              <w:spacing w:line="300" w:lineRule="auto"/>
            </w:pPr>
            <w:r>
              <w:rPr>
                <w:b w:val="0"/>
                <w:sz w:val="16"/>
              </w:rPr>
              <w:t>证明所声明有限问题被正确求解</w:t>
            </w:r>
          </w:p>
        </w:tc>
      </w:tr>
      <w:tr>
        <w:trPr>
          <w:cantSplit/>
        </w:trPr>
        <w:tc>
          <w:tcPr>
            <w:tcW w:type="dxa" w:w="3326"/>
          </w:tcPr>
          <w:p>
            <w:pPr>
              <w:spacing w:line="300" w:lineRule="auto"/>
            </w:pPr>
            <w:r>
              <w:rPr>
                <w:b w:val="0"/>
                <w:sz w:val="16"/>
              </w:rPr>
              <w:t>物理可信度</w:t>
            </w:r>
          </w:p>
        </w:tc>
        <w:tc>
          <w:tcPr>
            <w:tcW w:type="dxa" w:w="3326"/>
          </w:tcPr>
          <w:p>
            <w:pPr>
              <w:spacing w:line="300" w:lineRule="auto"/>
            </w:pPr>
            <w:r>
              <w:rPr>
                <w:b w:val="0"/>
                <w:sz w:val="16"/>
              </w:rPr>
              <w:t>相关、径向、高分波、算符、投影、极点控制</w:t>
            </w:r>
          </w:p>
        </w:tc>
        <w:tc>
          <w:tcPr>
            <w:tcW w:type="dxa" w:w="3326"/>
          </w:tcPr>
          <w:p>
            <w:pPr>
              <w:spacing w:line="300" w:lineRule="auto"/>
            </w:pPr>
            <w:r>
              <w:rPr>
                <w:b w:val="0"/>
                <w:sz w:val="16"/>
              </w:rPr>
              <w:t>判断是否可扩大到目标物理结论</w:t>
            </w:r>
          </w:p>
        </w:tc>
      </w:tr>
      <w:tr>
        <w:trPr>
          <w:cantSplit/>
        </w:trPr>
        <w:tc>
          <w:tcPr>
            <w:tcW w:type="dxa" w:w="3326"/>
          </w:tcPr>
          <w:p>
            <w:pPr>
              <w:spacing w:line="300" w:lineRule="auto"/>
            </w:pPr>
            <w:r>
              <w:rPr>
                <w:b w:val="0"/>
                <w:sz w:val="16"/>
              </w:rPr>
              <w:t>智能体研究能力</w:t>
            </w:r>
          </w:p>
        </w:tc>
        <w:tc>
          <w:tcPr>
            <w:tcW w:type="dxa" w:w="3326"/>
          </w:tcPr>
          <w:p>
            <w:pPr>
              <w:spacing w:line="300" w:lineRule="auto"/>
            </w:pPr>
            <w:r>
              <w:rPr>
                <w:b w:val="0"/>
                <w:sz w:val="16"/>
              </w:rPr>
              <w:t>假设覆盖、干预有效性、错误认证、人工介入、计算和模型调用成本</w:t>
            </w:r>
          </w:p>
        </w:tc>
        <w:tc>
          <w:tcPr>
            <w:tcW w:type="dxa" w:w="3326"/>
          </w:tcPr>
          <w:p>
            <w:pPr>
              <w:spacing w:line="300" w:lineRule="auto"/>
            </w:pPr>
            <w:r>
              <w:rPr>
                <w:b w:val="0"/>
                <w:sz w:val="16"/>
              </w:rPr>
              <w:t>判断研究组织是否可靠及是否节省资源</w:t>
            </w:r>
          </w:p>
        </w:tc>
      </w:tr>
    </w:tbl>
    <w:p>
      <w:r>
        <w:t>当前第一类控制已完成相应范围；第二类仍有明确缺口；第三类尚无受控对照结果。文件数量和测试数量不能直接当作智能体科学能力的评分。</w:t>
      </w:r>
    </w:p>
    <w:p>
      <w:pPr>
        <w:pStyle w:val="Heading2"/>
      </w:pPr>
      <w:r>
        <w:t>智能体对照实验</w:t>
      </w:r>
    </w:p>
    <w:p>
      <w:r>
        <w:t>后续评测拟设置三个可比较条件：研究人员按固定脚本执行，agent 执行固定计算流程，agent 自行选择下一项判别控制。三组使用相同任务、源码、初始证据与预算，评审在不知道执行组别的条件下核对结论。任务集包含相关尾部不足、表示符号异常、算符范围不支持和局部极点平台等不同失败类型；已披露案例用于开发，另留独立案例用于测试。</w:t>
      </w:r>
    </w:p>
    <w:p>
      <w:r>
        <w:t>主要指标为正确识别解释的比例和错误宣称通过的比例，同时记录完整计算开销、实际模型调用、失败重试、人工介入次数及最终证据完整性。比较耗时与费用时，须控制机器负载、冷暖缓存和任务范围。具体样本数在预实验后预声明，未达到样本量前只报告逐案例结果。</w:t>
      </w:r>
    </w:p>
    <w:p>
      <w:r>
        <w:t>拟议任务级停止条件为：预算耗尽、无法保持模型匹配、必要控制失败或证据不足。正确拒绝扩大结论可计入研究质量；不得以必须得到成功结果为任务终点。</w:t>
      </w:r>
    </w:p>
    <w:p>
      <w:pPr>
        <w:pStyle w:val="Heading2"/>
      </w:pPr>
      <w:r>
        <w:t>原子物理的下一阶段验收</w:t>
      </w:r>
    </w:p>
    <w:p>
      <w:r>
        <w:t>优先补齐高 κ QED 与真空极化接口覆盖，再在共同径向与截止约定下执行完整高分波双激发。随后继续正能截止、径向密度、束缚 n 和 rank3 控制。局部增量标准是收敛诊断，严格剩余误差界仍须额外推导或独立验证。</w:t>
      </w:r>
    </w:p>
    <w:p>
      <w:r>
        <w:t>复空间先扩大 R12 的完整 rank2 池，每一步同步检验两束缚锚、q/r 身份、阈值及参数稳定性；最终在与生产一致的 Fermi 核、冻结 DF 投影和算符范围内提取共振。只有这些控制完成后，才可更新物理极点认证状态。</w:t>
      </w:r>
    </w:p>
    <w:p>
      <w:r>
        <w:t>Breit 剩余分项差需要同轨道、同投影、同完整组态的独立大矩阵参照。轨道与投影自洽分别设置对照，避免与相关尾部或已经包含的 CI 响应重复计数。</w:t>
      </w:r>
    </w:p>
    <w:p>
      <w:pPr>
        <w:pStyle w:val="Heading1"/>
      </w:pPr>
      <w:r>
        <w:t>六周实施与资源计划</w:t>
      </w:r>
    </w:p>
    <w:p>
      <w:pPr>
        <w:pStyle w:val="Heading2"/>
      </w:pPr>
      <w:r>
        <w:t>里程碑</w:t>
      </w:r>
    </w:p>
    <w:p>
      <w:r>
        <w:t>以下为自项目启动日起计算的建议周期，资源与数据具备后执行。六周交付重点是可运行研究流程和首个材料诊断基线；完整原子相关收敛与极点认证按照实际控制结果推进。</w:t>
      </w:r>
    </w:p>
    <w:tbl>
      <w:tblPr>
        <w:tblStyle w:val="TableGrid"/>
        <w:tblW w:type="auto" w:w="0"/>
        <w:tblLook w:firstColumn="1" w:firstRow="1" w:lastColumn="0" w:lastRow="0" w:noHBand="0" w:noVBand="1" w:val="04A0"/>
      </w:tblPr>
      <w:tblGrid>
        <w:gridCol w:w="2494"/>
        <w:gridCol w:w="2494"/>
        <w:gridCol w:w="2494"/>
        <w:gridCol w:w="2494"/>
      </w:tblGrid>
      <w:tr>
        <w:trPr>
          <w:cantSplit/>
          <w:tblHeader/>
        </w:trPr>
        <w:tc>
          <w:tcPr>
            <w:tcW w:type="dxa" w:w="2494"/>
          </w:tcPr>
          <w:p>
            <w:pPr>
              <w:spacing w:line="300" w:lineRule="auto"/>
            </w:pPr>
            <w:r>
              <w:rPr>
                <w:b/>
                <w:sz w:val="16"/>
              </w:rPr>
              <w:t>周期</w:t>
            </w:r>
          </w:p>
        </w:tc>
        <w:tc>
          <w:tcPr>
            <w:tcW w:type="dxa" w:w="2494"/>
          </w:tcPr>
          <w:p>
            <w:pPr>
              <w:spacing w:line="300" w:lineRule="auto"/>
            </w:pPr>
            <w:r>
              <w:rPr>
                <w:b/>
                <w:sz w:val="16"/>
              </w:rPr>
              <w:t>主要工作</w:t>
            </w:r>
          </w:p>
        </w:tc>
        <w:tc>
          <w:tcPr>
            <w:tcW w:type="dxa" w:w="2494"/>
          </w:tcPr>
          <w:p>
            <w:pPr>
              <w:spacing w:line="300" w:lineRule="auto"/>
            </w:pPr>
            <w:r>
              <w:rPr>
                <w:b/>
                <w:sz w:val="16"/>
              </w:rPr>
              <w:t>可审阅交付</w:t>
            </w:r>
          </w:p>
        </w:tc>
        <w:tc>
          <w:tcPr>
            <w:tcW w:type="dxa" w:w="2494"/>
          </w:tcPr>
          <w:p>
            <w:pPr>
              <w:spacing w:line="300" w:lineRule="auto"/>
            </w:pPr>
            <w:r>
              <w:rPr>
                <w:b/>
                <w:sz w:val="16"/>
              </w:rPr>
              <w:t>进入下一阶段的条件</w:t>
            </w:r>
          </w:p>
        </w:tc>
      </w:tr>
      <w:tr>
        <w:trPr>
          <w:cantSplit/>
        </w:trPr>
        <w:tc>
          <w:tcPr>
            <w:tcW w:type="dxa" w:w="2494"/>
          </w:tcPr>
          <w:p>
            <w:pPr>
              <w:spacing w:line="300" w:lineRule="auto"/>
            </w:pPr>
            <w:r>
              <w:rPr>
                <w:b w:val="0"/>
                <w:sz w:val="16"/>
              </w:rPr>
              <w:t>第 1 周</w:t>
            </w:r>
          </w:p>
        </w:tc>
        <w:tc>
          <w:tcPr>
            <w:tcW w:type="dxa" w:w="2494"/>
          </w:tcPr>
          <w:p>
            <w:pPr>
              <w:spacing w:line="300" w:lineRule="auto"/>
            </w:pPr>
            <w:r>
              <w:rPr>
                <w:b w:val="0"/>
                <w:sz w:val="16"/>
              </w:rPr>
              <w:t>固定目标赛题或试点范围，确认数据来源，整理可执行包</w:t>
            </w:r>
          </w:p>
        </w:tc>
        <w:tc>
          <w:tcPr>
            <w:tcW w:type="dxa" w:w="2494"/>
          </w:tcPr>
          <w:p>
            <w:pPr>
              <w:spacing w:line="300" w:lineRule="auto"/>
            </w:pPr>
            <w:r>
              <w:rPr>
                <w:b w:val="0"/>
                <w:sz w:val="16"/>
              </w:rPr>
              <w:t>任务契约、来源索引、依赖锁与小规模重放</w:t>
            </w:r>
          </w:p>
        </w:tc>
        <w:tc>
          <w:tcPr>
            <w:tcW w:type="dxa" w:w="2494"/>
          </w:tcPr>
          <w:p>
            <w:pPr>
              <w:spacing w:line="300" w:lineRule="auto"/>
            </w:pPr>
            <w:r>
              <w:rPr>
                <w:b w:val="0"/>
                <w:sz w:val="16"/>
              </w:rPr>
              <w:t>格式合法，输入输出明确，原证据可复核</w:t>
            </w:r>
          </w:p>
        </w:tc>
      </w:tr>
      <w:tr>
        <w:trPr>
          <w:cantSplit/>
        </w:trPr>
        <w:tc>
          <w:tcPr>
            <w:tcW w:type="dxa" w:w="2494"/>
          </w:tcPr>
          <w:p>
            <w:pPr>
              <w:spacing w:line="300" w:lineRule="auto"/>
            </w:pPr>
            <w:r>
              <w:rPr>
                <w:b w:val="0"/>
                <w:sz w:val="16"/>
              </w:rPr>
              <w:t>第 2 周</w:t>
            </w:r>
          </w:p>
        </w:tc>
        <w:tc>
          <w:tcPr>
            <w:tcW w:type="dxa" w:w="2494"/>
          </w:tcPr>
          <w:p>
            <w:pPr>
              <w:spacing w:line="300" w:lineRule="auto"/>
            </w:pPr>
            <w:r>
              <w:rPr>
                <w:b w:val="0"/>
                <w:sz w:val="16"/>
              </w:rPr>
              <w:t>建立假设及协议记录，执行低成本因素对照</w:t>
            </w:r>
          </w:p>
        </w:tc>
        <w:tc>
          <w:tcPr>
            <w:tcW w:type="dxa" w:w="2494"/>
          </w:tcPr>
          <w:p>
            <w:pPr>
              <w:spacing w:line="300" w:lineRule="auto"/>
            </w:pPr>
            <w:r>
              <w:rPr>
                <w:b w:val="0"/>
                <w:sz w:val="16"/>
              </w:rPr>
              <w:t>真实执行轨迹、控制矩阵、资源记录</w:t>
            </w:r>
          </w:p>
        </w:tc>
        <w:tc>
          <w:tcPr>
            <w:tcW w:type="dxa" w:w="2494"/>
          </w:tcPr>
          <w:p>
            <w:pPr>
              <w:spacing w:line="300" w:lineRule="auto"/>
            </w:pPr>
            <w:r>
              <w:rPr>
                <w:b w:val="0"/>
                <w:sz w:val="16"/>
              </w:rPr>
              <w:t>每项结论可追溯到实际干预</w:t>
            </w:r>
          </w:p>
        </w:tc>
      </w:tr>
      <w:tr>
        <w:trPr>
          <w:cantSplit/>
        </w:trPr>
        <w:tc>
          <w:tcPr>
            <w:tcW w:type="dxa" w:w="2494"/>
          </w:tcPr>
          <w:p>
            <w:pPr>
              <w:spacing w:line="300" w:lineRule="auto"/>
            </w:pPr>
            <w:r>
              <w:rPr>
                <w:b w:val="0"/>
                <w:sz w:val="16"/>
              </w:rPr>
              <w:t>第 3 周</w:t>
            </w:r>
          </w:p>
        </w:tc>
        <w:tc>
          <w:tcPr>
            <w:tcW w:type="dxa" w:w="2494"/>
          </w:tcPr>
          <w:p>
            <w:pPr>
              <w:spacing w:line="300" w:lineRule="auto"/>
            </w:pPr>
            <w:r>
              <w:rPr>
                <w:b w:val="0"/>
                <w:sz w:val="16"/>
              </w:rPr>
              <w:t>执行原子高分波和 Breit 同表示控制</w:t>
            </w:r>
          </w:p>
        </w:tc>
        <w:tc>
          <w:tcPr>
            <w:tcW w:type="dxa" w:w="2494"/>
          </w:tcPr>
          <w:p>
            <w:pPr>
              <w:spacing w:line="300" w:lineRule="auto"/>
            </w:pPr>
            <w:r>
              <w:rPr>
                <w:b w:val="0"/>
                <w:sz w:val="16"/>
              </w:rPr>
              <w:t>更新谱位与通过状态，保留失败</w:t>
            </w:r>
          </w:p>
        </w:tc>
        <w:tc>
          <w:tcPr>
            <w:tcW w:type="dxa" w:w="2494"/>
          </w:tcPr>
          <w:p>
            <w:pPr>
              <w:spacing w:line="300" w:lineRule="auto"/>
            </w:pPr>
            <w:r>
              <w:rPr>
                <w:b w:val="0"/>
                <w:sz w:val="16"/>
              </w:rPr>
              <w:t>完整模型覆盖且原数值门通过</w:t>
            </w:r>
          </w:p>
        </w:tc>
      </w:tr>
      <w:tr>
        <w:trPr>
          <w:cantSplit/>
        </w:trPr>
        <w:tc>
          <w:tcPr>
            <w:tcW w:type="dxa" w:w="2494"/>
          </w:tcPr>
          <w:p>
            <w:pPr>
              <w:spacing w:line="300" w:lineRule="auto"/>
            </w:pPr>
            <w:r>
              <w:rPr>
                <w:b w:val="0"/>
                <w:sz w:val="16"/>
              </w:rPr>
              <w:t>第 4 周</w:t>
            </w:r>
          </w:p>
        </w:tc>
        <w:tc>
          <w:tcPr>
            <w:tcW w:type="dxa" w:w="2494"/>
          </w:tcPr>
          <w:p>
            <w:pPr>
              <w:spacing w:line="300" w:lineRule="auto"/>
            </w:pPr>
            <w:r>
              <w:rPr>
                <w:b w:val="0"/>
                <w:sz w:val="16"/>
              </w:rPr>
              <w:t>扩展复空间并建立材料谱域基线</w:t>
            </w:r>
          </w:p>
        </w:tc>
        <w:tc>
          <w:tcPr>
            <w:tcW w:type="dxa" w:w="2494"/>
          </w:tcPr>
          <w:p>
            <w:pPr>
              <w:spacing w:line="300" w:lineRule="auto"/>
            </w:pPr>
            <w:r>
              <w:rPr>
                <w:b w:val="0"/>
                <w:sz w:val="16"/>
              </w:rPr>
              <w:t>极点控制报告、材料验证基线</w:t>
            </w:r>
          </w:p>
        </w:tc>
        <w:tc>
          <w:tcPr>
            <w:tcW w:type="dxa" w:w="2494"/>
          </w:tcPr>
          <w:p>
            <w:pPr>
              <w:spacing w:line="300" w:lineRule="auto"/>
            </w:pPr>
            <w:r>
              <w:rPr>
                <w:b w:val="0"/>
                <w:sz w:val="16"/>
              </w:rPr>
              <w:t>物理和数据契约分别满足</w:t>
            </w:r>
          </w:p>
        </w:tc>
      </w:tr>
      <w:tr>
        <w:trPr>
          <w:cantSplit/>
        </w:trPr>
        <w:tc>
          <w:tcPr>
            <w:tcW w:type="dxa" w:w="2494"/>
          </w:tcPr>
          <w:p>
            <w:pPr>
              <w:spacing w:line="300" w:lineRule="auto"/>
            </w:pPr>
            <w:r>
              <w:rPr>
                <w:b w:val="0"/>
                <w:sz w:val="16"/>
              </w:rPr>
              <w:t>第 5 周</w:t>
            </w:r>
          </w:p>
        </w:tc>
        <w:tc>
          <w:tcPr>
            <w:tcW w:type="dxa" w:w="2494"/>
          </w:tcPr>
          <w:p>
            <w:pPr>
              <w:spacing w:line="300" w:lineRule="auto"/>
            </w:pPr>
            <w:r>
              <w:rPr>
                <w:b w:val="0"/>
                <w:sz w:val="16"/>
              </w:rPr>
              <w:t>进行独立任务与方法对照评测</w:t>
            </w:r>
          </w:p>
        </w:tc>
        <w:tc>
          <w:tcPr>
            <w:tcW w:type="dxa" w:w="2494"/>
          </w:tcPr>
          <w:p>
            <w:pPr>
              <w:spacing w:line="300" w:lineRule="auto"/>
            </w:pPr>
            <w:r>
              <w:rPr>
                <w:b w:val="0"/>
                <w:sz w:val="16"/>
              </w:rPr>
              <w:t>盲评结果、误认证率、成本与人工介入记录</w:t>
            </w:r>
          </w:p>
        </w:tc>
        <w:tc>
          <w:tcPr>
            <w:tcW w:type="dxa" w:w="2494"/>
          </w:tcPr>
          <w:p>
            <w:pPr>
              <w:spacing w:line="300" w:lineRule="auto"/>
            </w:pPr>
            <w:r>
              <w:rPr>
                <w:b w:val="0"/>
                <w:sz w:val="16"/>
              </w:rPr>
              <w:t>评价方法预声明，测试数据隔离</w:t>
            </w:r>
          </w:p>
        </w:tc>
      </w:tr>
      <w:tr>
        <w:trPr>
          <w:cantSplit/>
        </w:trPr>
        <w:tc>
          <w:tcPr>
            <w:tcW w:type="dxa" w:w="2494"/>
          </w:tcPr>
          <w:p>
            <w:pPr>
              <w:spacing w:line="300" w:lineRule="auto"/>
            </w:pPr>
            <w:r>
              <w:rPr>
                <w:b w:val="0"/>
                <w:sz w:val="16"/>
              </w:rPr>
              <w:t>第 6 周</w:t>
            </w:r>
          </w:p>
        </w:tc>
        <w:tc>
          <w:tcPr>
            <w:tcW w:type="dxa" w:w="2494"/>
          </w:tcPr>
          <w:p>
            <w:pPr>
              <w:spacing w:line="300" w:lineRule="auto"/>
            </w:pPr>
            <w:r>
              <w:rPr>
                <w:b w:val="0"/>
                <w:sz w:val="16"/>
              </w:rPr>
              <w:t>整理竞赛交付、答辩与试点需求</w:t>
            </w:r>
          </w:p>
        </w:tc>
        <w:tc>
          <w:tcPr>
            <w:tcW w:type="dxa" w:w="2494"/>
          </w:tcPr>
          <w:p>
            <w:pPr>
              <w:spacing w:line="300" w:lineRule="auto"/>
            </w:pPr>
            <w:r>
              <w:rPr>
                <w:b w:val="0"/>
                <w:sz w:val="16"/>
              </w:rPr>
              <w:t>可执行材料、完整报告、演示、未完成清单</w:t>
            </w:r>
          </w:p>
        </w:tc>
        <w:tc>
          <w:tcPr>
            <w:tcW w:type="dxa" w:w="2494"/>
          </w:tcPr>
          <w:p>
            <w:pPr>
              <w:spacing w:line="300" w:lineRule="auto"/>
            </w:pPr>
            <w:r>
              <w:rPr>
                <w:b w:val="0"/>
                <w:sz w:val="16"/>
              </w:rPr>
              <w:t>当前平台格式校验与科学审阅通过</w:t>
            </w:r>
          </w:p>
        </w:tc>
      </w:tr>
    </w:tbl>
    <w:p>
      <w:pPr>
        <w:pStyle w:val="Heading2"/>
      </w:pPr>
      <w:r>
        <w:t>人员与计算</w:t>
      </w:r>
    </w:p>
    <w:p>
      <w:r>
        <w:t>建议由三类职责配合：原子或材料谱学研究、智能体与工程实现、实验数据与独立验证。它们是实施所需角色，不代表已组建对应人数的团队。试点线站和企业由项目负责人实际确认。</w:t>
      </w:r>
    </w:p>
    <w:p>
      <w:r>
        <w:t>现有大空间控制使用约 104 GiB 预算和最多 24 个工人。后续同等规模任务拟配置具有内存余量的 CPU 节点；更高分波和更大完整空间先估算 CSF、raw 候选、矩阵及装配成本，再决定节点配置。材料学习模型是否需要 GPU 由基线测量确定。</w:t>
      </w:r>
    </w:p>
    <w:p>
      <w:r>
        <w:t>计划以 2000 CPU 核时作为首轮工程与计算预留，并额外预留 20% 失败重试容量；这些是排期假设，不是已测总耗时或完整物理收敛保证。模型调用预算在预实验后依据实际输入输出量确定，不填入未经计量的历史费用。</w:t>
      </w:r>
    </w:p>
    <w:p>
      <w:pPr>
        <w:spacing w:line="276" w:lineRule="auto"/>
      </w:pPr>
      <w:r>
        <w:rPr>
          <w:sz w:val="16"/>
        </w:rPr>
        <w:t>总预算 = CPU 核时 × 实际核时单价</w:t>
        <w:br/>
        <w:t xml:space="preserve">       + GPU 小时 × 实际小时单价</w:t>
        <w:br/>
        <w:t xml:space="preserve">       + 模型调用实际用量 × 对应单价</w:t>
        <w:br/>
        <w:t xml:space="preserve">       + 存储、数据服务与人工验证费用</w:t>
      </w:r>
    </w:p>
    <w:p>
      <w:r>
        <w:t>资源单价按执行时的服务报价和协议填入。达到预算上限即保存已有结果并重新评估范围，不能通过删弱通道或放宽科学门限维持“完成”状态。</w:t>
      </w:r>
    </w:p>
    <w:p>
      <w:pPr>
        <w:pStyle w:val="Heading1"/>
      </w:pPr>
      <w:r>
        <w:t>创新点与主要风险</w:t>
      </w:r>
    </w:p>
    <w:p>
      <w:pPr>
        <w:pStyle w:val="Heading2"/>
      </w:pPr>
      <w:r>
        <w:t>可展示的贡献</w:t>
      </w:r>
    </w:p>
    <w:p>
      <w:r>
        <w:t>第一，研究目标从绝对能量转到可观测量的差分响应。智能体同步跟踪基态和上态，以共同位移和劈裂区分解释，避免把单态改善等同于谱学改善。</w:t>
      </w:r>
    </w:p>
    <w:p>
      <w:r>
        <w:t>第二，将修正开关、最终态期望、CI 响应、轨道优化和投影改变分别定义。它减少了“再加一项修正”造成的重复计数，也使跨论文约定成为可检查对象。</w:t>
      </w:r>
    </w:p>
    <w:p>
      <w:r>
        <w:t>第三，把独立原算符重放、态身份和物理空间控制嵌入研究过程。局部参数稳定而相关空间失败的共振案例，直接展示了这些检查的科学价值。</w:t>
      </w:r>
    </w:p>
    <w:p>
      <w:r>
        <w:t>第四，将失败保留、精度重试和来源绑定纳入交付。评审可以看到结论为何改变，并检查新结论是否仍满足原门限。</w:t>
      </w:r>
    </w:p>
    <w:p>
      <w:r>
        <w:t>这些是本项目已展示或拟扩展的方法贡献。方法的新颖性范围需通过更系统的相关工作比较评估，当前没有宣称首次实现完全自主科学发现。</w:t>
      </w:r>
    </w:p>
    <w:p>
      <w:pPr>
        <w:pStyle w:val="Heading2"/>
      </w:pPr>
      <w:r>
        <w:t>风险与处理条件</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风险</w:t>
            </w:r>
          </w:p>
        </w:tc>
        <w:tc>
          <w:tcPr>
            <w:tcW w:type="dxa" w:w="3326"/>
          </w:tcPr>
          <w:p>
            <w:pPr>
              <w:spacing w:line="300" w:lineRule="auto"/>
            </w:pPr>
            <w:r>
              <w:rPr>
                <w:b/>
                <w:sz w:val="16"/>
              </w:rPr>
              <w:t>对结论的影响</w:t>
            </w:r>
          </w:p>
        </w:tc>
        <w:tc>
          <w:tcPr>
            <w:tcW w:type="dxa" w:w="3326"/>
          </w:tcPr>
          <w:p>
            <w:pPr>
              <w:spacing w:line="300" w:lineRule="auto"/>
            </w:pPr>
            <w:r>
              <w:rPr>
                <w:b/>
                <w:sz w:val="16"/>
              </w:rPr>
              <w:t>处理方式</w:t>
            </w:r>
          </w:p>
        </w:tc>
      </w:tr>
      <w:tr>
        <w:trPr>
          <w:cantSplit/>
        </w:trPr>
        <w:tc>
          <w:tcPr>
            <w:tcW w:type="dxa" w:w="3326"/>
          </w:tcPr>
          <w:p>
            <w:pPr>
              <w:spacing w:line="300" w:lineRule="auto"/>
            </w:pPr>
            <w:r>
              <w:rPr>
                <w:b w:val="0"/>
                <w:sz w:val="16"/>
              </w:rPr>
              <w:t>高分波或相关尾部成本超出预计</w:t>
            </w:r>
          </w:p>
        </w:tc>
        <w:tc>
          <w:tcPr>
            <w:tcW w:type="dxa" w:w="3326"/>
          </w:tcPr>
          <w:p>
            <w:pPr>
              <w:spacing w:line="300" w:lineRule="auto"/>
            </w:pPr>
            <w:r>
              <w:rPr>
                <w:b w:val="0"/>
                <w:sz w:val="16"/>
              </w:rPr>
              <w:t>无法给出完整收敛结论</w:t>
            </w:r>
          </w:p>
        </w:tc>
        <w:tc>
          <w:tcPr>
            <w:tcW w:type="dxa" w:w="3326"/>
          </w:tcPr>
          <w:p>
            <w:pPr>
              <w:spacing w:line="300" w:lineRule="auto"/>
            </w:pPr>
            <w:r>
              <w:rPr>
                <w:b w:val="0"/>
                <w:sz w:val="16"/>
              </w:rPr>
              <w:t>先做完整规模预估，分阶段执行，保留未完成状态</w:t>
            </w:r>
          </w:p>
        </w:tc>
      </w:tr>
      <w:tr>
        <w:trPr>
          <w:cantSplit/>
        </w:trPr>
        <w:tc>
          <w:tcPr>
            <w:tcW w:type="dxa" w:w="3326"/>
          </w:tcPr>
          <w:p>
            <w:pPr>
              <w:spacing w:line="300" w:lineRule="auto"/>
            </w:pPr>
            <w:r>
              <w:rPr>
                <w:b w:val="0"/>
                <w:sz w:val="16"/>
              </w:rPr>
              <w:t>轨道或投影变化混入对照</w:t>
            </w:r>
          </w:p>
        </w:tc>
        <w:tc>
          <w:tcPr>
            <w:tcW w:type="dxa" w:w="3326"/>
          </w:tcPr>
          <w:p>
            <w:pPr>
              <w:spacing w:line="300" w:lineRule="auto"/>
            </w:pPr>
            <w:r>
              <w:rPr>
                <w:b w:val="0"/>
                <w:sz w:val="16"/>
              </w:rPr>
              <w:t>因素无法独立归因</w:t>
            </w:r>
          </w:p>
        </w:tc>
        <w:tc>
          <w:tcPr>
            <w:tcW w:type="dxa" w:w="3326"/>
          </w:tcPr>
          <w:p>
            <w:pPr>
              <w:spacing w:line="300" w:lineRule="auto"/>
            </w:pPr>
            <w:r>
              <w:rPr>
                <w:b w:val="0"/>
                <w:sz w:val="16"/>
              </w:rPr>
              <w:t>使用独立协议，固定其余条件，同步测量上下态</w:t>
            </w:r>
          </w:p>
        </w:tc>
      </w:tr>
      <w:tr>
        <w:trPr>
          <w:cantSplit/>
        </w:trPr>
        <w:tc>
          <w:tcPr>
            <w:tcW w:type="dxa" w:w="3326"/>
          </w:tcPr>
          <w:p>
            <w:pPr>
              <w:spacing w:line="300" w:lineRule="auto"/>
            </w:pPr>
            <w:r>
              <w:rPr>
                <w:b w:val="0"/>
                <w:sz w:val="16"/>
              </w:rPr>
              <w:t>复尺度局部平台造成误认证</w:t>
            </w:r>
          </w:p>
        </w:tc>
        <w:tc>
          <w:tcPr>
            <w:tcW w:type="dxa" w:w="3326"/>
          </w:tcPr>
          <w:p>
            <w:pPr>
              <w:spacing w:line="300" w:lineRule="auto"/>
            </w:pPr>
            <w:r>
              <w:rPr>
                <w:b w:val="0"/>
                <w:sz w:val="16"/>
              </w:rPr>
              <w:t>把表示伪根当作物理极点</w:t>
            </w:r>
          </w:p>
        </w:tc>
        <w:tc>
          <w:tcPr>
            <w:tcW w:type="dxa" w:w="3326"/>
          </w:tcPr>
          <w:p>
            <w:pPr>
              <w:spacing w:line="300" w:lineRule="auto"/>
            </w:pPr>
            <w:r>
              <w:rPr>
                <w:b w:val="0"/>
                <w:sz w:val="16"/>
              </w:rPr>
              <w:t>保留束缚锚、阈值、空间及参数联合控制</w:t>
            </w:r>
          </w:p>
        </w:tc>
      </w:tr>
      <w:tr>
        <w:trPr>
          <w:cantSplit/>
        </w:trPr>
        <w:tc>
          <w:tcPr>
            <w:tcW w:type="dxa" w:w="3326"/>
          </w:tcPr>
          <w:p>
            <w:pPr>
              <w:spacing w:line="300" w:lineRule="auto"/>
            </w:pPr>
            <w:r>
              <w:rPr>
                <w:b w:val="0"/>
                <w:sz w:val="16"/>
              </w:rPr>
              <w:t>材料数据来源或处理不一致</w:t>
            </w:r>
          </w:p>
        </w:tc>
        <w:tc>
          <w:tcPr>
            <w:tcW w:type="dxa" w:w="3326"/>
          </w:tcPr>
          <w:p>
            <w:pPr>
              <w:spacing w:line="300" w:lineRule="auto"/>
            </w:pPr>
            <w:r>
              <w:rPr>
                <w:b w:val="0"/>
                <w:sz w:val="16"/>
              </w:rPr>
              <w:t>映射结果受到域差异误导</w:t>
            </w:r>
          </w:p>
        </w:tc>
        <w:tc>
          <w:tcPr>
            <w:tcW w:type="dxa" w:w="3326"/>
          </w:tcPr>
          <w:p>
            <w:pPr>
              <w:spacing w:line="300" w:lineRule="auto"/>
            </w:pPr>
            <w:r>
              <w:rPr>
                <w:b w:val="0"/>
                <w:sz w:val="16"/>
              </w:rPr>
              <w:t>保留原谱、设施元信息、处理记录和分组验证</w:t>
            </w:r>
          </w:p>
        </w:tc>
      </w:tr>
      <w:tr>
        <w:trPr>
          <w:cantSplit/>
        </w:trPr>
        <w:tc>
          <w:tcPr>
            <w:tcW w:type="dxa" w:w="3326"/>
          </w:tcPr>
          <w:p>
            <w:pPr>
              <w:spacing w:line="300" w:lineRule="auto"/>
            </w:pPr>
            <w:r>
              <w:rPr>
                <w:b w:val="0"/>
                <w:sz w:val="16"/>
              </w:rPr>
              <w:t>测试目标泄漏或经验反复拟合</w:t>
            </w:r>
          </w:p>
        </w:tc>
        <w:tc>
          <w:tcPr>
            <w:tcW w:type="dxa" w:w="3326"/>
          </w:tcPr>
          <w:p>
            <w:pPr>
              <w:spacing w:line="300" w:lineRule="auto"/>
            </w:pPr>
            <w:r>
              <w:rPr>
                <w:b w:val="0"/>
                <w:sz w:val="16"/>
              </w:rPr>
              <w:t>分数无法代表泛化能力</w:t>
            </w:r>
          </w:p>
        </w:tc>
        <w:tc>
          <w:tcPr>
            <w:tcW w:type="dxa" w:w="3326"/>
          </w:tcPr>
          <w:p>
            <w:pPr>
              <w:spacing w:line="300" w:lineRule="auto"/>
            </w:pPr>
            <w:r>
              <w:rPr>
                <w:b w:val="0"/>
                <w:sz w:val="16"/>
              </w:rPr>
              <w:t>固定开发和测试划分，限制可读取资源</w:t>
            </w:r>
          </w:p>
        </w:tc>
      </w:tr>
      <w:tr>
        <w:trPr>
          <w:cantSplit/>
        </w:trPr>
        <w:tc>
          <w:tcPr>
            <w:tcW w:type="dxa" w:w="3326"/>
          </w:tcPr>
          <w:p>
            <w:pPr>
              <w:spacing w:line="300" w:lineRule="auto"/>
            </w:pPr>
            <w:r>
              <w:rPr>
                <w:b w:val="0"/>
                <w:sz w:val="16"/>
              </w:rPr>
              <w:t>重建摘要代替真实轨迹</w:t>
            </w:r>
          </w:p>
        </w:tc>
        <w:tc>
          <w:tcPr>
            <w:tcW w:type="dxa" w:w="3326"/>
          </w:tcPr>
          <w:p>
            <w:pPr>
              <w:spacing w:line="300" w:lineRule="auto"/>
            </w:pPr>
            <w:r>
              <w:rPr>
                <w:b w:val="0"/>
                <w:sz w:val="16"/>
              </w:rPr>
              <w:t>无法证明 agent 的实际行为</w:t>
            </w:r>
          </w:p>
        </w:tc>
        <w:tc>
          <w:tcPr>
            <w:tcW w:type="dxa" w:w="3326"/>
          </w:tcPr>
          <w:p>
            <w:pPr>
              <w:spacing w:line="300" w:lineRule="auto"/>
            </w:pPr>
            <w:r>
              <w:rPr>
                <w:b w:val="0"/>
                <w:sz w:val="16"/>
              </w:rPr>
              <w:t>分开提供真实执行记录与人工整理的评审摘要</w:t>
            </w:r>
          </w:p>
        </w:tc>
      </w:tr>
      <w:tr>
        <w:trPr>
          <w:cantSplit/>
        </w:trPr>
        <w:tc>
          <w:tcPr>
            <w:tcW w:type="dxa" w:w="3326"/>
          </w:tcPr>
          <w:p>
            <w:pPr>
              <w:spacing w:line="300" w:lineRule="auto"/>
            </w:pPr>
            <w:r>
              <w:rPr>
                <w:b w:val="0"/>
                <w:sz w:val="16"/>
              </w:rPr>
              <w:t>平台规则或评分配置变化</w:t>
            </w:r>
          </w:p>
        </w:tc>
        <w:tc>
          <w:tcPr>
            <w:tcW w:type="dxa" w:w="3326"/>
          </w:tcPr>
          <w:p>
            <w:pPr>
              <w:spacing w:line="300" w:lineRule="auto"/>
            </w:pPr>
            <w:r>
              <w:rPr>
                <w:b w:val="0"/>
                <w:sz w:val="16"/>
              </w:rPr>
              <w:t>提交形式与成绩预期失配</w:t>
            </w:r>
          </w:p>
        </w:tc>
        <w:tc>
          <w:tcPr>
            <w:tcW w:type="dxa" w:w="3326"/>
          </w:tcPr>
          <w:p>
            <w:pPr>
              <w:spacing w:line="300" w:lineRule="auto"/>
            </w:pPr>
            <w:r>
              <w:rPr>
                <w:b w:val="0"/>
                <w:sz w:val="16"/>
              </w:rPr>
              <w:t>以目标场次当前协议为准，记录配置版本</w:t>
            </w:r>
          </w:p>
        </w:tc>
      </w:tr>
    </w:tbl>
    <w:p>
      <w:pPr>
        <w:pStyle w:val="Heading1"/>
      </w:pPr>
      <w:r>
        <w:t>演示与答辩安排</w:t>
      </w:r>
    </w:p>
    <w:p>
      <w:pPr>
        <w:pStyle w:val="Heading2"/>
      </w:pPr>
      <w:r>
        <w:t>八分钟演示</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pPr>
              <w:spacing w:line="300" w:lineRule="auto"/>
            </w:pPr>
            <w:r>
              <w:rPr>
                <w:b/>
                <w:sz w:val="16"/>
              </w:rPr>
              <w:t>时间</w:t>
            </w:r>
          </w:p>
        </w:tc>
        <w:tc>
          <w:tcPr>
            <w:tcW w:type="dxa" w:w="3326"/>
          </w:tcPr>
          <w:p>
            <w:pPr>
              <w:spacing w:line="300" w:lineRule="auto"/>
            </w:pPr>
            <w:r>
              <w:rPr>
                <w:b/>
                <w:sz w:val="16"/>
              </w:rPr>
              <w:t>展示内容</w:t>
            </w:r>
          </w:p>
        </w:tc>
        <w:tc>
          <w:tcPr>
            <w:tcW w:type="dxa" w:w="3326"/>
          </w:tcPr>
          <w:p>
            <w:pPr>
              <w:spacing w:line="300" w:lineRule="auto"/>
            </w:pPr>
            <w:r>
              <w:rPr>
                <w:b/>
                <w:sz w:val="16"/>
              </w:rPr>
              <w:t>评审可核对的对象</w:t>
            </w:r>
          </w:p>
        </w:tc>
      </w:tr>
      <w:tr>
        <w:trPr>
          <w:cantSplit/>
        </w:trPr>
        <w:tc>
          <w:tcPr>
            <w:tcW w:type="dxa" w:w="3326"/>
          </w:tcPr>
          <w:p>
            <w:pPr>
              <w:spacing w:line="300" w:lineRule="auto"/>
            </w:pPr>
            <w:r>
              <w:rPr>
                <w:b w:val="0"/>
                <w:sz w:val="16"/>
              </w:rPr>
              <w:t>0 至 1 分钟</w:t>
            </w:r>
          </w:p>
        </w:tc>
        <w:tc>
          <w:tcPr>
            <w:tcW w:type="dxa" w:w="3326"/>
          </w:tcPr>
          <w:p>
            <w:pPr>
              <w:spacing w:line="300" w:lineRule="auto"/>
            </w:pPr>
            <w:r>
              <w:rPr>
                <w:b w:val="0"/>
                <w:sz w:val="16"/>
              </w:rPr>
              <w:t>北京光源谱学中的可靠解释问题与项目目标</w:t>
            </w:r>
          </w:p>
        </w:tc>
        <w:tc>
          <w:tcPr>
            <w:tcW w:type="dxa" w:w="3326"/>
          </w:tcPr>
          <w:p>
            <w:pPr>
              <w:spacing w:line="300" w:lineRule="auto"/>
            </w:pPr>
            <w:r>
              <w:rPr>
                <w:b w:val="0"/>
                <w:sz w:val="16"/>
              </w:rPr>
              <w:t>光源和应用范围，原子基准定位</w:t>
            </w:r>
          </w:p>
        </w:tc>
      </w:tr>
      <w:tr>
        <w:trPr>
          <w:cantSplit/>
        </w:trPr>
        <w:tc>
          <w:tcPr>
            <w:tcW w:type="dxa" w:w="3326"/>
          </w:tcPr>
          <w:p>
            <w:pPr>
              <w:spacing w:line="300" w:lineRule="auto"/>
            </w:pPr>
            <w:r>
              <w:rPr>
                <w:b w:val="0"/>
                <w:sz w:val="16"/>
              </w:rPr>
              <w:t>1 至 3 分钟</w:t>
            </w:r>
          </w:p>
        </w:tc>
        <w:tc>
          <w:tcPr>
            <w:tcW w:type="dxa" w:w="3326"/>
          </w:tcPr>
          <w:p>
            <w:pPr>
              <w:spacing w:line="300" w:lineRule="auto"/>
            </w:pPr>
            <w:r>
              <w:rPr>
                <w:b w:val="0"/>
                <w:sz w:val="16"/>
              </w:rPr>
              <w:t>从偏差建立竞争假设，展示三态相关响应</w:t>
            </w:r>
          </w:p>
        </w:tc>
        <w:tc>
          <w:tcPr>
            <w:tcW w:type="dxa" w:w="3326"/>
          </w:tcPr>
          <w:p>
            <w:pPr>
              <w:spacing w:line="300" w:lineRule="auto"/>
            </w:pPr>
            <w:r>
              <w:rPr>
                <w:b w:val="0"/>
                <w:sz w:val="16"/>
              </w:rPr>
              <w:t>完整截止与单激发对照、反馈预测</w:t>
            </w:r>
          </w:p>
        </w:tc>
      </w:tr>
      <w:tr>
        <w:trPr>
          <w:cantSplit/>
        </w:trPr>
        <w:tc>
          <w:tcPr>
            <w:tcW w:type="dxa" w:w="3326"/>
          </w:tcPr>
          <w:p>
            <w:pPr>
              <w:spacing w:line="300" w:lineRule="auto"/>
            </w:pPr>
            <w:r>
              <w:rPr>
                <w:b w:val="0"/>
                <w:sz w:val="16"/>
              </w:rPr>
              <w:t>3 至 4 分钟</w:t>
            </w:r>
          </w:p>
        </w:tc>
        <w:tc>
          <w:tcPr>
            <w:tcW w:type="dxa" w:w="3326"/>
          </w:tcPr>
          <w:p>
            <w:pPr>
              <w:spacing w:line="300" w:lineRule="auto"/>
            </w:pPr>
            <w:r>
              <w:rPr>
                <w:b w:val="0"/>
                <w:sz w:val="16"/>
              </w:rPr>
              <w:t>展示 Breit 与 QED 已包含响应</w:t>
            </w:r>
          </w:p>
        </w:tc>
        <w:tc>
          <w:tcPr>
            <w:tcW w:type="dxa" w:w="3326"/>
          </w:tcPr>
          <w:p>
            <w:pPr>
              <w:spacing w:line="300" w:lineRule="auto"/>
            </w:pPr>
            <w:r>
              <w:rPr>
                <w:b w:val="0"/>
                <w:sz w:val="16"/>
              </w:rPr>
              <w:t>一阶与完整开关定义、重复计数边界</w:t>
            </w:r>
          </w:p>
        </w:tc>
      </w:tr>
      <w:tr>
        <w:trPr>
          <w:cantSplit/>
        </w:trPr>
        <w:tc>
          <w:tcPr>
            <w:tcW w:type="dxa" w:w="3326"/>
          </w:tcPr>
          <w:p>
            <w:pPr>
              <w:spacing w:line="300" w:lineRule="auto"/>
            </w:pPr>
            <w:r>
              <w:rPr>
                <w:b w:val="0"/>
                <w:sz w:val="16"/>
              </w:rPr>
              <w:t>4 至 5 分钟</w:t>
            </w:r>
          </w:p>
        </w:tc>
        <w:tc>
          <w:tcPr>
            <w:tcW w:type="dxa" w:w="3326"/>
          </w:tcPr>
          <w:p>
            <w:pPr>
              <w:spacing w:line="300" w:lineRule="auto"/>
            </w:pPr>
            <w:r>
              <w:rPr>
                <w:b w:val="0"/>
                <w:sz w:val="16"/>
              </w:rPr>
              <w:t>展示复尺度局部稳定但相关控制失败</w:t>
            </w:r>
          </w:p>
        </w:tc>
        <w:tc>
          <w:tcPr>
            <w:tcW w:type="dxa" w:w="3326"/>
          </w:tcPr>
          <w:p>
            <w:pPr>
              <w:spacing w:line="300" w:lineRule="auto"/>
            </w:pPr>
            <w:r>
              <w:rPr>
                <w:b w:val="0"/>
                <w:sz w:val="16"/>
              </w:rPr>
              <w:t>束缚锚、空间变化、未认证状态</w:t>
            </w:r>
          </w:p>
        </w:tc>
      </w:tr>
      <w:tr>
        <w:trPr>
          <w:cantSplit/>
        </w:trPr>
        <w:tc>
          <w:tcPr>
            <w:tcW w:type="dxa" w:w="3326"/>
          </w:tcPr>
          <w:p>
            <w:pPr>
              <w:spacing w:line="300" w:lineRule="auto"/>
            </w:pPr>
            <w:r>
              <w:rPr>
                <w:b w:val="0"/>
                <w:sz w:val="16"/>
              </w:rPr>
              <w:t>5 至 6 分钟</w:t>
            </w:r>
          </w:p>
        </w:tc>
        <w:tc>
          <w:tcPr>
            <w:tcW w:type="dxa" w:w="3326"/>
          </w:tcPr>
          <w:p>
            <w:pPr>
              <w:spacing w:line="300" w:lineRule="auto"/>
            </w:pPr>
            <w:r>
              <w:rPr>
                <w:b w:val="0"/>
                <w:sz w:val="16"/>
              </w:rPr>
              <w:t>展示一次原失败与同矩阵精度重试</w:t>
            </w:r>
          </w:p>
        </w:tc>
        <w:tc>
          <w:tcPr>
            <w:tcW w:type="dxa" w:w="3326"/>
          </w:tcPr>
          <w:p>
            <w:pPr>
              <w:spacing w:line="300" w:lineRule="auto"/>
            </w:pPr>
            <w:r>
              <w:rPr>
                <w:b w:val="0"/>
                <w:sz w:val="16"/>
              </w:rPr>
              <w:t>协议、哈希与原门限保持</w:t>
            </w:r>
          </w:p>
        </w:tc>
      </w:tr>
      <w:tr>
        <w:trPr>
          <w:cantSplit/>
        </w:trPr>
        <w:tc>
          <w:tcPr>
            <w:tcW w:type="dxa" w:w="3326"/>
          </w:tcPr>
          <w:p>
            <w:pPr>
              <w:spacing w:line="300" w:lineRule="auto"/>
            </w:pPr>
            <w:r>
              <w:rPr>
                <w:b w:val="0"/>
                <w:sz w:val="16"/>
              </w:rPr>
              <w:t>6 至 7 分钟</w:t>
            </w:r>
          </w:p>
        </w:tc>
        <w:tc>
          <w:tcPr>
            <w:tcW w:type="dxa" w:w="3326"/>
          </w:tcPr>
          <w:p>
            <w:pPr>
              <w:spacing w:line="300" w:lineRule="auto"/>
            </w:pPr>
            <w:r>
              <w:rPr>
                <w:b w:val="0"/>
                <w:sz w:val="16"/>
              </w:rPr>
              <w:t>演示证据包核验与真实轨迹入口</w:t>
            </w:r>
          </w:p>
        </w:tc>
        <w:tc>
          <w:tcPr>
            <w:tcW w:type="dxa" w:w="3326"/>
          </w:tcPr>
          <w:p>
            <w:pPr>
              <w:spacing w:line="300" w:lineRule="auto"/>
            </w:pPr>
            <w:r>
              <w:rPr>
                <w:b w:val="0"/>
                <w:sz w:val="16"/>
              </w:rPr>
              <w:t>标准库验证结果、来源索引</w:t>
            </w:r>
          </w:p>
        </w:tc>
      </w:tr>
      <w:tr>
        <w:trPr>
          <w:cantSplit/>
        </w:trPr>
        <w:tc>
          <w:tcPr>
            <w:tcW w:type="dxa" w:w="3326"/>
          </w:tcPr>
          <w:p>
            <w:pPr>
              <w:spacing w:line="300" w:lineRule="auto"/>
            </w:pPr>
            <w:r>
              <w:rPr>
                <w:b w:val="0"/>
                <w:sz w:val="16"/>
              </w:rPr>
              <w:t>7 至 8 分钟</w:t>
            </w:r>
          </w:p>
        </w:tc>
        <w:tc>
          <w:tcPr>
            <w:tcW w:type="dxa" w:w="3326"/>
          </w:tcPr>
          <w:p>
            <w:pPr>
              <w:spacing w:line="300" w:lineRule="auto"/>
            </w:pPr>
            <w:r>
              <w:rPr>
                <w:b w:val="0"/>
                <w:sz w:val="16"/>
              </w:rPr>
              <w:t>说明材料试点、验收与六周交付</w:t>
            </w:r>
          </w:p>
        </w:tc>
        <w:tc>
          <w:tcPr>
            <w:tcW w:type="dxa" w:w="3326"/>
          </w:tcPr>
          <w:p>
            <w:pPr>
              <w:spacing w:line="300" w:lineRule="auto"/>
            </w:pPr>
            <w:r>
              <w:rPr>
                <w:b w:val="0"/>
                <w:sz w:val="16"/>
              </w:rPr>
              <w:t>具体因素对照、基线和未完成任务</w:t>
            </w:r>
          </w:p>
        </w:tc>
      </w:tr>
    </w:tbl>
    <w:p>
      <w:r>
        <w:t>现场以读取已有数值和执行轻量证据核验为主；完整大矩阵计算作为有日志的离线成果展示。材料谱学演示在基线完成后加入，不能用展示图代替实际运行结果。</w:t>
      </w:r>
    </w:p>
    <w:p>
      <w:pPr>
        <w:pStyle w:val="Heading2"/>
      </w:pPr>
      <w:r>
        <w:t>关键答辩判断</w:t>
      </w:r>
    </w:p>
    <w:p>
      <w:r>
        <w:rPr>
          <w:b/>
        </w:rPr>
        <w:t>已经定位什么？</w:t>
      </w:r>
      <w:r>
        <w:t xml:space="preserve"> 最新有限空间中，高能双激发相关支配两条线的共同位移；基态响应更大。它是直接干预结果，尚不能唯一解释全部历史误差。</w:t>
      </w:r>
    </w:p>
    <w:p>
      <w:r>
        <w:rPr>
          <w:b/>
        </w:rPr>
        <w:t>QED 加入后是否需要再迭代？</w:t>
      </w:r>
      <w:r>
        <w:t xml:space="preserve"> 固定 CI 的系数响应已经包含。轨道及投影自洽需要单独检验；当前没有用固定 CI 响应给它们提供数值上界。</w:t>
      </w:r>
    </w:p>
    <w:p>
      <w:r>
        <w:rPr>
          <w:b/>
        </w:rPr>
        <w:t>是否找到了物理共振极点？</w:t>
      </w:r>
      <w:r>
        <w:t xml:space="preserve"> 已找到同模型下通过多项控制的候选，相关空间仍有 31–32 meV 的谱位移动，物理认证状态保留为 False。</w:t>
      </w:r>
    </w:p>
    <w:p>
      <w:r>
        <w:rPr>
          <w:b/>
        </w:rPr>
        <w:t>是否已经用于北京光源企业样品？</w:t>
      </w:r>
      <w:r>
        <w:t xml:space="preserve"> 已有原子物理验证和材料应用方案。线站数据、材料环境与企业问题须在试点中独立验证。</w:t>
      </w:r>
    </w:p>
    <w:p>
      <w:r>
        <w:rPr>
          <w:b/>
        </w:rPr>
        <w:t>科学智能体的价值如何衡量？</w:t>
      </w:r>
      <w:r>
        <w:t xml:space="preserve"> 当前案例证明它能够组织多步骤判别、识别不同层的失败并维护证据。是否节省成本、提高任务成功率，按照预声明的受控对照评测回答。</w:t>
      </w:r>
    </w:p>
    <w:p>
      <w:pPr>
        <w:pStyle w:val="Heading1"/>
      </w:pPr>
      <w:r>
        <w:t>交付索引</w:t>
      </w:r>
    </w:p>
    <w:tbl>
      <w:tblPr>
        <w:tblStyle w:val="TableGrid"/>
        <w:tblW w:type="auto" w:w="0"/>
        <w:tblLook w:firstColumn="1" w:firstRow="1" w:lastColumn="0" w:lastRow="0" w:noHBand="0" w:noVBand="1" w:val="04A0"/>
      </w:tblPr>
      <w:tblGrid>
        <w:gridCol w:w="4989"/>
        <w:gridCol w:w="4989"/>
      </w:tblGrid>
      <w:tr>
        <w:trPr>
          <w:cantSplit/>
          <w:tblHeader/>
        </w:trPr>
        <w:tc>
          <w:tcPr>
            <w:tcW w:type="dxa" w:w="4989"/>
          </w:tcPr>
          <w:p>
            <w:pPr>
              <w:spacing w:line="300" w:lineRule="auto"/>
            </w:pPr>
            <w:r>
              <w:rPr>
                <w:b/>
                <w:sz w:val="16"/>
              </w:rPr>
              <w:t>文件</w:t>
            </w:r>
          </w:p>
        </w:tc>
        <w:tc>
          <w:tcPr>
            <w:tcW w:type="dxa" w:w="4989"/>
          </w:tcPr>
          <w:p>
            <w:pPr>
              <w:spacing w:line="300" w:lineRule="auto"/>
            </w:pPr>
            <w:r>
              <w:rPr>
                <w:b/>
                <w:sz w:val="16"/>
              </w:rPr>
              <w:t>用途</w:t>
            </w:r>
          </w:p>
        </w:tc>
      </w:tr>
      <w:tr>
        <w:trPr>
          <w:cantSplit/>
        </w:trPr>
        <w:tc>
          <w:tcPr>
            <w:tcW w:type="dxa" w:w="4989"/>
          </w:tcPr>
          <w:p>
            <w:pPr>
              <w:spacing w:line="300" w:lineRule="auto"/>
            </w:pPr>
            <w:r>
              <w:rPr>
                <w:b w:val="0"/>
                <w:sz w:val="16"/>
              </w:rPr>
              <w:t>参赛项目书.md</w:t>
            </w:r>
          </w:p>
        </w:tc>
        <w:tc>
          <w:tcPr>
            <w:tcW w:type="dxa" w:w="4989"/>
          </w:tcPr>
          <w:p>
            <w:pPr>
              <w:spacing w:line="300" w:lineRule="auto"/>
            </w:pPr>
            <w:r>
              <w:rPr>
                <w:b w:val="0"/>
                <w:sz w:val="16"/>
              </w:rPr>
              <w:t>完整可编辑正文</w:t>
            </w:r>
          </w:p>
        </w:tc>
      </w:tr>
      <w:tr>
        <w:trPr>
          <w:cantSplit/>
        </w:trPr>
        <w:tc>
          <w:tcPr>
            <w:tcW w:type="dxa" w:w="4989"/>
          </w:tcPr>
          <w:p>
            <w:pPr>
              <w:spacing w:line="300" w:lineRule="auto"/>
            </w:pPr>
            <w:r>
              <w:rPr>
                <w:b w:val="0"/>
                <w:sz w:val="16"/>
              </w:rPr>
              <w:t>参赛项目书.pdf</w:t>
            </w:r>
          </w:p>
        </w:tc>
        <w:tc>
          <w:tcPr>
            <w:tcW w:type="dxa" w:w="4989"/>
          </w:tcPr>
          <w:p>
            <w:pPr>
              <w:spacing w:line="300" w:lineRule="auto"/>
            </w:pPr>
            <w:r>
              <w:rPr>
                <w:b w:val="0"/>
                <w:sz w:val="16"/>
              </w:rPr>
              <w:t>阅读和答辩使用的排版版本</w:t>
            </w:r>
          </w:p>
        </w:tc>
      </w:tr>
      <w:tr>
        <w:trPr>
          <w:cantSplit/>
        </w:trPr>
        <w:tc>
          <w:tcPr>
            <w:tcW w:type="dxa" w:w="4989"/>
          </w:tcPr>
          <w:p>
            <w:pPr>
              <w:spacing w:line="300" w:lineRule="auto"/>
            </w:pPr>
            <w:r>
              <w:rPr>
                <w:b w:val="0"/>
                <w:sz w:val="16"/>
              </w:rPr>
              <w:t>参赛项目书.docx</w:t>
            </w:r>
          </w:p>
        </w:tc>
        <w:tc>
          <w:tcPr>
            <w:tcW w:type="dxa" w:w="4989"/>
          </w:tcPr>
          <w:p>
            <w:pPr>
              <w:spacing w:line="300" w:lineRule="auto"/>
            </w:pPr>
            <w:r>
              <w:rPr>
                <w:b w:val="0"/>
                <w:sz w:val="16"/>
              </w:rPr>
              <w:t>常用办公格式的可编辑版本</w:t>
            </w:r>
          </w:p>
        </w:tc>
      </w:tr>
      <w:tr>
        <w:trPr>
          <w:cantSplit/>
        </w:trPr>
        <w:tc>
          <w:tcPr>
            <w:tcW w:type="dxa" w:w="4989"/>
          </w:tcPr>
          <w:p>
            <w:pPr>
              <w:spacing w:line="300" w:lineRule="auto"/>
            </w:pPr>
            <w:r>
              <w:rPr>
                <w:b w:val="0"/>
                <w:sz w:val="16"/>
              </w:rPr>
              <w:t>参赛项目书.html</w:t>
            </w:r>
          </w:p>
        </w:tc>
        <w:tc>
          <w:tcPr>
            <w:tcW w:type="dxa" w:w="4989"/>
          </w:tcPr>
          <w:p>
            <w:pPr>
              <w:spacing w:line="300" w:lineRule="auto"/>
            </w:pPr>
            <w:r>
              <w:rPr>
                <w:b w:val="0"/>
                <w:sz w:val="16"/>
              </w:rPr>
              <w:t>本地阅读与打印版本</w:t>
            </w:r>
          </w:p>
        </w:tc>
      </w:tr>
      <w:tr>
        <w:trPr>
          <w:cantSplit/>
        </w:trPr>
        <w:tc>
          <w:tcPr>
            <w:tcW w:type="dxa" w:w="4989"/>
          </w:tcPr>
          <w:p>
            <w:pPr>
              <w:spacing w:line="300" w:lineRule="auto"/>
            </w:pPr>
            <w:r>
              <w:rPr>
                <w:b w:val="0"/>
                <w:sz w:val="16"/>
              </w:rPr>
              <w:t>评审摘要.md</w:t>
            </w:r>
          </w:p>
        </w:tc>
        <w:tc>
          <w:tcPr>
            <w:tcW w:type="dxa" w:w="4989"/>
          </w:tcPr>
          <w:p>
            <w:pPr>
              <w:spacing w:line="300" w:lineRule="auto"/>
            </w:pPr>
            <w:r>
              <w:rPr>
                <w:b w:val="0"/>
                <w:sz w:val="16"/>
              </w:rPr>
              <w:t>一页概览与项目核心判断</w:t>
            </w:r>
          </w:p>
        </w:tc>
      </w:tr>
      <w:tr>
        <w:trPr>
          <w:cantSplit/>
        </w:trPr>
        <w:tc>
          <w:tcPr>
            <w:tcW w:type="dxa" w:w="4989"/>
          </w:tcPr>
          <w:p>
            <w:pPr>
              <w:spacing w:line="300" w:lineRule="auto"/>
            </w:pPr>
            <w:r>
              <w:rPr>
                <w:b w:val="0"/>
                <w:sz w:val="16"/>
              </w:rPr>
              <w:t>evidence_index.json</w:t>
            </w:r>
          </w:p>
        </w:tc>
        <w:tc>
          <w:tcPr>
            <w:tcW w:type="dxa" w:w="4989"/>
          </w:tcPr>
          <w:p>
            <w:pPr>
              <w:spacing w:line="300" w:lineRule="auto"/>
            </w:pPr>
            <w:r>
              <w:rPr>
                <w:b w:val="0"/>
                <w:sz w:val="16"/>
              </w:rPr>
              <w:t>逐字节证据子集与完整档案来源</w:t>
            </w:r>
          </w:p>
        </w:tc>
      </w:tr>
      <w:tr>
        <w:trPr>
          <w:cantSplit/>
        </w:trPr>
        <w:tc>
          <w:tcPr>
            <w:tcW w:type="dxa" w:w="4989"/>
          </w:tcPr>
          <w:p>
            <w:pPr>
              <w:spacing w:line="300" w:lineRule="auto"/>
            </w:pPr>
            <w:r>
              <w:rPr>
                <w:b w:val="0"/>
                <w:sz w:val="16"/>
              </w:rPr>
              <w:t>evidence/</w:t>
            </w:r>
          </w:p>
        </w:tc>
        <w:tc>
          <w:tcPr>
            <w:tcW w:type="dxa" w:w="4989"/>
          </w:tcPr>
          <w:p>
            <w:pPr>
              <w:spacing w:line="300" w:lineRule="auto"/>
            </w:pPr>
            <w:r>
              <w:rPr>
                <w:b w:val="0"/>
                <w:sz w:val="16"/>
              </w:rPr>
              <w:t>核心数值、测前协议、失败与验证证明</w:t>
            </w:r>
          </w:p>
        </w:tc>
      </w:tr>
      <w:tr>
        <w:trPr>
          <w:cantSplit/>
        </w:trPr>
        <w:tc>
          <w:tcPr>
            <w:tcW w:type="dxa" w:w="4989"/>
          </w:tcPr>
          <w:p>
            <w:pPr>
              <w:spacing w:line="300" w:lineRule="auto"/>
            </w:pPr>
            <w:r>
              <w:rPr>
                <w:b w:val="0"/>
                <w:sz w:val="16"/>
              </w:rPr>
              <w:t>sources/index.json</w:t>
            </w:r>
          </w:p>
        </w:tc>
        <w:tc>
          <w:tcPr>
            <w:tcW w:type="dxa" w:w="4989"/>
          </w:tcPr>
          <w:p>
            <w:pPr>
              <w:spacing w:line="300" w:lineRule="auto"/>
            </w:pPr>
            <w:r>
              <w:rPr>
                <w:b w:val="0"/>
                <w:sz w:val="16"/>
              </w:rPr>
              <w:t>官网与题面读取记录及哈希</w:t>
            </w:r>
          </w:p>
        </w:tc>
      </w:tr>
      <w:tr>
        <w:trPr>
          <w:cantSplit/>
        </w:trPr>
        <w:tc>
          <w:tcPr>
            <w:tcW w:type="dxa" w:w="4989"/>
          </w:tcPr>
          <w:p>
            <w:pPr>
              <w:spacing w:line="300" w:lineRule="auto"/>
            </w:pPr>
            <w:r>
              <w:rPr>
                <w:b w:val="0"/>
                <w:sz w:val="16"/>
              </w:rPr>
              <w:t>verify_evidence.py</w:t>
            </w:r>
          </w:p>
        </w:tc>
        <w:tc>
          <w:tcPr>
            <w:tcW w:type="dxa" w:w="4989"/>
          </w:tcPr>
          <w:p>
            <w:pPr>
              <w:spacing w:line="300" w:lineRule="auto"/>
            </w:pPr>
            <w:r>
              <w:rPr>
                <w:b w:val="0"/>
                <w:sz w:val="16"/>
              </w:rPr>
              <w:t>无物理导入的证据与核心数值核验</w:t>
            </w:r>
          </w:p>
        </w:tc>
      </w:tr>
      <w:tr>
        <w:trPr>
          <w:cantSplit/>
        </w:trPr>
        <w:tc>
          <w:tcPr>
            <w:tcW w:type="dxa" w:w="4989"/>
          </w:tcPr>
          <w:p>
            <w:pPr>
              <w:spacing w:line="300" w:lineRule="auto"/>
            </w:pPr>
            <w:r>
              <w:rPr>
                <w:b w:val="0"/>
                <w:sz w:val="16"/>
              </w:rPr>
              <w:t>verification.json</w:t>
            </w:r>
          </w:p>
        </w:tc>
        <w:tc>
          <w:tcPr>
            <w:tcW w:type="dxa" w:w="4989"/>
          </w:tcPr>
          <w:p>
            <w:pPr>
              <w:spacing w:line="300" w:lineRule="auto"/>
            </w:pPr>
            <w:r>
              <w:rPr>
                <w:b w:val="0"/>
                <w:sz w:val="16"/>
              </w:rPr>
              <w:t>本次文档交付的实际检查结果</w:t>
            </w:r>
          </w:p>
        </w:tc>
      </w:tr>
    </w:tbl>
    <w:p>
      <w:r>
        <w:t>源码与矩阵完整复现入口见</w:t>
      </w:r>
      <w:hyperlink r:id="rId37">
        <w:r>
          <w:rPr>
            <w:color w:val="24648B"/>
          </w:rPr>
          <w:t>科学档案</w:t>
        </w:r>
      </w:hyperlink>
      <w:r>
        <w:t>。正文属于项目说明与技术评审材料；对应官方赛题的容器、输出和原始轨迹按正式提交契约补充。</w:t>
      </w:r>
    </w:p>
    <w:p>
      <w:pPr>
        <w:pStyle w:val="Heading1"/>
      </w:pPr>
      <w:r>
        <w:t>参考资料</w:t>
      </w:r>
    </w:p>
    <w:p>
      <w:pPr>
        <w:pStyle w:val="ListNumber"/>
      </w:pPr>
      <w:hyperlink r:id="rId40">
        <w:r>
          <w:rPr>
            <w:color w:val="24648B"/>
          </w:rPr>
          <w:t>The Playground 入门与挑战评分说明</w:t>
        </w:r>
      </w:hyperlink>
      <w:r>
        <w:t>。</w:t>
      </w:r>
    </w:p>
    <w:p>
      <w:pPr>
        <w:pStyle w:val="ListNumber"/>
      </w:pPr>
      <w:hyperlink r:id="rId41">
        <w:r>
          <w:rPr>
            <w:color w:val="24648B"/>
          </w:rPr>
          <w:t>The Playground 研究轨迹说明</w:t>
        </w:r>
      </w:hyperlink>
      <w:r>
        <w:t>。</w:t>
      </w:r>
    </w:p>
    <w:p>
      <w:pPr>
        <w:pStyle w:val="ListNumber"/>
      </w:pPr>
      <w:hyperlink r:id="rId42">
        <w:r>
          <w:rPr>
            <w:color w:val="24648B"/>
          </w:rPr>
          <w:t>ARM 复现交付协议说明</w:t>
        </w:r>
      </w:hyperlink>
      <w:r>
        <w:t>。</w:t>
      </w:r>
    </w:p>
    <w:p>
      <w:pPr>
        <w:pStyle w:val="ListNumber"/>
      </w:pPr>
      <w:hyperlink r:id="rId12">
        <w:r>
          <w:rPr>
            <w:color w:val="24648B"/>
          </w:rPr>
          <w:t>XAS-Sim2Real 公开题面与当前 API 评分字段</w:t>
        </w:r>
      </w:hyperlink>
      <w:r>
        <w:t>。</w:t>
      </w:r>
    </w:p>
    <w:p>
      <w:pPr>
        <w:pStyle w:val="ListNumber"/>
      </w:pPr>
      <w:hyperlink r:id="rId9">
        <w:r>
          <w:rPr>
            <w:color w:val="24648B"/>
          </w:rPr>
          <w:t>高能所 HEPS 装置介绍</w:t>
        </w:r>
      </w:hyperlink>
      <w:r>
        <w:t>。</w:t>
      </w:r>
    </w:p>
    <w:p>
      <w:pPr>
        <w:pStyle w:val="ListNumber"/>
      </w:pPr>
      <w:hyperlink r:id="rId10">
        <w:r>
          <w:rPr>
            <w:color w:val="24648B"/>
          </w:rPr>
          <w:t>高能所高能量分辨谱学线站资料</w:t>
        </w:r>
      </w:hyperlink>
      <w:r>
        <w:t>。</w:t>
      </w:r>
    </w:p>
    <w:p>
      <w:pPr>
        <w:pStyle w:val="ListNumber"/>
      </w:pPr>
      <w:hyperlink r:id="rId11">
        <w:r>
          <w:rPr>
            <w:color w:val="24648B"/>
          </w:rPr>
          <w:t>北京市投资促进服务局 2026 年 7 月产业对接资料</w:t>
        </w:r>
      </w:hyperlink>
      <w:r>
        <w:t>。</w:t>
      </w:r>
    </w:p>
    <w:p>
      <w:pPr>
        <w:pStyle w:val="ListNumber"/>
      </w:pPr>
      <w:hyperlink r:id="rId25">
        <w:r>
          <w:rPr>
            <w:color w:val="24648B"/>
          </w:rPr>
          <w:t>2017 年 Li-like 离子芯激发理论原始论文</w:t>
        </w:r>
      </w:hyperlink>
      <w:r>
        <w:t>。</w:t>
      </w:r>
    </w:p>
    <w:p>
      <w:pPr>
        <w:pStyle w:val="ListNumber"/>
      </w:pPr>
      <w:hyperlink r:id="rId43">
        <w:r>
          <w:rPr>
            <w:color w:val="24648B"/>
          </w:rPr>
          <w:t>2012 年芯激发谱学与有限频率作用处方</w:t>
        </w:r>
      </w:hyperlink>
      <w:r>
        <w:t>。</w:t>
      </w:r>
    </w:p>
    <w:p>
      <w:pPr>
        <w:pStyle w:val="ListNumber"/>
      </w:pPr>
      <w:hyperlink r:id="rId14">
        <w:r>
          <w:rPr>
            <w:color w:val="24648B"/>
          </w:rPr>
          <w:t>2019 年相对论复尺度原始方法</w:t>
        </w:r>
      </w:hyperlink>
      <w:r>
        <w:t>。</w:t>
      </w:r>
    </w:p>
    <w:p>
      <w:pPr>
        <w:pStyle w:val="ListNumber"/>
      </w:pPr>
      <w:hyperlink r:id="rId21">
        <w:r>
          <w:rPr>
            <w:color w:val="24648B"/>
          </w:rPr>
          <w:t>2024 年 Li-like Ne 芯激发精密谱学原始论文</w:t>
        </w:r>
      </w:hyperlink>
      <w:r>
        <w:t>。</w:t>
      </w:r>
    </w:p>
    <w:p>
      <w:pPr>
        <w:pStyle w:val="ListNumber"/>
      </w:pPr>
      <w:hyperlink r:id="rId37">
        <w:r>
          <w:rPr>
            <w:color w:val="24648B"/>
          </w:rPr>
          <w:t>Atomx 完整 3200 Ha 相关尾部 Breit 与极点判别档案</w:t>
        </w:r>
      </w:hyperlink>
      <w:r>
        <w:t>。</w:t>
      </w:r>
    </w:p>
    <w:sectPr w:rsidR="00FC693F" w:rsidRPr="0006063C" w:rsidSect="00034616">
      <w:footerReference w:type="default" r:id="rId44"/>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Atomx · 北京光源与未来产业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hep.cas.cn/dkxzz/HEPS/zzjs/" TargetMode="External"/><Relationship Id="rId10" Type="http://schemas.openxmlformats.org/officeDocument/2006/relationships/hyperlink" Target="https://heps.ihep.ac.cn/xwdt/2022/202211/t20221101_6542537.html" TargetMode="External"/><Relationship Id="rId11" Type="http://schemas.openxmlformats.org/officeDocument/2006/relationships/hyperlink" Target="https://invest.beijing.gov.cn/tcgz/tzhd/202607/t20260701_4742101.html" TargetMode="External"/><Relationship Id="rId12" Type="http://schemas.openxmlformats.org/officeDocument/2006/relationships/hyperlink" Target="https://play.bohrium.com/api/challenges/xas-sim2real-bidirectional-52f0be51" TargetMode="External"/><Relationship Id="rId13" Type="http://schemas.openxmlformats.org/officeDocument/2006/relationships/hyperlink" Target="evidence/protocol.json" TargetMode="External"/><Relationship Id="rId14" Type="http://schemas.openxmlformats.org/officeDocument/2006/relationships/hyperlink" Target="https://arxiv.org/pdf/1909.11487" TargetMode="External"/><Relationship Id="rId15" Type="http://schemas.openxmlformats.org/officeDocument/2006/relationships/image" Target="media/image1.png"/><Relationship Id="rId16" Type="http://schemas.openxmlformats.org/officeDocument/2006/relationships/hyperlink" Target="evidence/tail_model.json" TargetMode="External"/><Relationship Id="rId17" Type="http://schemas.openxmlformats.org/officeDocument/2006/relationships/hyperlink" Target="evidence/e3200/analysis.json" TargetMode="External"/><Relationship Id="rId18" Type="http://schemas.openxmlformats.org/officeDocument/2006/relationships/hyperlink" Target="evidence/validation.json" TargetMode="External"/><Relationship Id="rId19" Type="http://schemas.openxmlformats.org/officeDocument/2006/relationships/hyperlink" Target="evidence/e3200/singles_analysis.json" TargetMode="External"/><Relationship Id="rId20" Type="http://schemas.openxmlformats.org/officeDocument/2006/relationships/hyperlink" Target="evidence/feedback_scale_analysis.json" TargetMode="External"/><Relationship Id="rId21" Type="http://schemas.openxmlformats.org/officeDocument/2006/relationships/hyperlink" Target="https://harvest.aps.org/v2/journals/articles/10.1103/PhysRevA.110.L030802/fulltext" TargetMode="External"/><Relationship Id="rId22" Type="http://schemas.openxmlformats.org/officeDocument/2006/relationships/hyperlink" Target="evidence/experimental_nominals.json" TargetMode="External"/><Relationship Id="rId23" Type="http://schemas.openxmlformats.org/officeDocument/2006/relationships/hyperlink" Target="evidence/breit_path_3200.json" TargetMode="External"/><Relationship Id="rId24" Type="http://schemas.openxmlformats.org/officeDocument/2006/relationships/hyperlink" Target="../xfel_uv_tail_continuation_2026_10_06/README.md" TargetMode="External"/><Relationship Id="rId25" Type="http://schemas.openxmlformats.org/officeDocument/2006/relationships/hyperlink" Target="https://arxiv.org/html/1712.09383" TargetMode="External"/><Relationship Id="rId26" Type="http://schemas.openxmlformats.org/officeDocument/2006/relationships/hyperlink" Target="evidence/frequency_reference_projection.json" TargetMode="External"/><Relationship Id="rId27" Type="http://schemas.openxmlformats.org/officeDocument/2006/relationships/hyperlink" Target="evidence/operator_tests.json" TargetMode="External"/><Relationship Id="rId28" Type="http://schemas.openxmlformats.org/officeDocument/2006/relationships/hyperlink" Target="evidence/frequency_tests.json" TargetMode="External"/><Relationship Id="rId29" Type="http://schemas.openxmlformats.org/officeDocument/2006/relationships/hyperlink" Target="evidence/complex_breit_off.json" TargetMode="External"/><Relationship Id="rId30" Type="http://schemas.openxmlformats.org/officeDocument/2006/relationships/hyperlink" Target="evidence/wall_control.json" TargetMode="External"/><Relationship Id="rId31" Type="http://schemas.openxmlformats.org/officeDocument/2006/relationships/hyperlink" Target="evidence/wall_center_comparison.json" TargetMode="External"/><Relationship Id="rId32" Type="http://schemas.openxmlformats.org/officeDocument/2006/relationships/hyperlink" Target="evidence/wall_angle_analysis.json" TargetMode="External"/><Relationship Id="rId33" Type="http://schemas.openxmlformats.org/officeDocument/2006/relationships/image" Target="media/image2.png"/><Relationship Id="rId34" Type="http://schemas.openxmlformats.org/officeDocument/2006/relationships/hyperlink" Target="evidence/failed_validation_ledger_closure/manifest.json" TargetMode="External"/><Relationship Id="rId35" Type="http://schemas.openxmlformats.org/officeDocument/2006/relationships/hyperlink" Target="evidence/ledger_precision_retry_protocol.json" TargetMode="External"/><Relationship Id="rId36" Type="http://schemas.openxmlformats.org/officeDocument/2006/relationships/hyperlink" Target="evidence/energy_balance_precise_retry.json" TargetMode="External"/><Relationship Id="rId37" Type="http://schemas.openxmlformats.org/officeDocument/2006/relationships/hyperlink" Target="../xfel_tail_breit_pole_2026_10_06/README.md" TargetMode="External"/><Relationship Id="rId38" Type="http://schemas.openxmlformats.org/officeDocument/2006/relationships/hyperlink" Target="evidence/seal_check.json" TargetMode="External"/><Relationship Id="rId39" Type="http://schemas.openxmlformats.org/officeDocument/2006/relationships/hyperlink" Target="evidence_index.json" TargetMode="External"/><Relationship Id="rId40" Type="http://schemas.openxmlformats.org/officeDocument/2006/relationships/hyperlink" Target="https://play.bohrium.com/api/docs/getting-started" TargetMode="External"/><Relationship Id="rId41" Type="http://schemas.openxmlformats.org/officeDocument/2006/relationships/hyperlink" Target="https://play.bohrium.com/api/docs/reading-a-trace" TargetMode="External"/><Relationship Id="rId42" Type="http://schemas.openxmlformats.org/officeDocument/2006/relationships/hyperlink" Target="https://play.bohrium.com/api/docs/arm-bundles" TargetMode="External"/><Relationship Id="rId43" Type="http://schemas.openxmlformats.org/officeDocument/2006/relationships/hyperlink" Target="https://arxiv.org/pdf/1209.6520" TargetMode="External"/><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