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从原子能级到产业材料</w:t>
      </w:r>
    </w:p>
    <w:p>
      <w:r>
        <w:t>Atomx 驱动的原子、分子、晶体谱学研究体系</w:t>
      </w:r>
    </w:p>
    <w:p>
      <w:r>
        <w:t>北京光源与未来产业 · Agentic Science · 2026-10-06</w:t>
      </w:r>
    </w:p>
    <w:p>
      <w:r>
        <w:rPr>
          <w:b/>
        </w:rPr>
        <w:t>主线：先把谱线的物理定义算清楚，再解释环境如何改变它，最后用光谱区分可检验的科学和材料状态。</w:t>
      </w:r>
      <w:r>
        <w:t>QED 提供精密原子物理的一部分，XAS 把芯电子响应变成材料局域结构信息，工作条件与测量模型决定这些信息能否用于实际决策。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递进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案例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为什么做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原子基础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少电子离子，QED/Breit/相关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建立能量、状态、算符与误差的可信基础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宇宙到能源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太阳 Ne VIII、恒星 Ne IX/X、聚变 Ne/W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从谱线到温度、密度、流动及杂质诊断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化学键到环境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CO/CO₂、MgO 嵌入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区分芯电离/芯激发，识别成键与长程环境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晶体模型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NiO 多重态/电荷转移、TiO₂ 多晶型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判断何时需要局域强相关或延展结构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产业材料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LiFePO₄ 工况、Pd 动态催化、Si/SiO₂ 界面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区分混相、活性重构及局域界面状态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测量的边界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Ne XFEL 电荷动力学</w:t>
            </w:r>
          </w:p>
        </w:tc>
        <w:tc>
          <w:tcPr>
            <w:tcW w:type="dxa" w:w="3326"/>
          </w:tcPr>
          <w:p>
            <w:pPr>
              <w:spacing w:line="300" w:lineRule="auto"/>
            </w:pPr>
            <w:r>
              <w:rPr>
                <w:sz w:val="16"/>
              </w:rPr>
              <w:t>检查探针是否在测量中改变了对象</w:t>
            </w:r>
          </w:p>
        </w:tc>
      </w:tr>
    </w:tbl>
    <w:p>
      <w:r>
        <w:rPr>
          <w:b/>
        </w:rPr>
        <w:t>Ne 的故事要讲准确：</w:t>
      </w:r>
      <w:r>
        <w:t>Ne VIII 是三个电子的 Ne⁷⁺，太阳风相关约 77 nm 紫外价跃迁与此前约 908 eV 芯激发共振是不同跃迁。Ne IX/X 的热等离子体线还需要布居、碰撞/复合、UV 场和输运，不能由能级差直接得到唯一温度或密度。</w:t>
      </w:r>
    </w:p>
    <w:p>
      <w:r>
        <w:rPr>
          <w:b/>
        </w:rPr>
        <w:t>Atomx 的角色：</w:t>
      </w:r>
      <w:r>
        <w:t>原子结构、CI/MCDHF、Breit/模型 QED、辐射与部分连续态/动力学是基础；已有 PySCF provider、芯 ΔSCF、有限嵌入与晶场接口。周期 XAS、完整配体电荷转移及核运动需与外部软件协作并建立明确适配。接口名称或架构提案不作为已实现能力。</w:t>
      </w:r>
    </w:p>
    <w:p>
      <w:r>
        <w:rPr>
          <w:b/>
        </w:rPr>
        <w:t>Agent 的科学任务：</w:t>
      </w:r>
      <w:r>
        <w:t>提出竞争解释，选择最小有判别力的控制，锁定模型与验收规则，运行计算并保存失败，按结果决定下一步。演示应展示“为什么这样计算、排除了什么”，并以盲测、独立参考、可回放性和实际资源评价。</w:t>
      </w:r>
    </w:p>
    <w:p>
      <w:r>
        <w:rPr>
          <w:b/>
        </w:rPr>
        <w:t>本次交付：</w:t>
      </w:r>
      <w:r>
        <w:t>12 个案例均给出动机、输入、模型/软件、步骤、观测量/验证和故事承接；附机器可读登记表及 PDF/Word/Markdown。Ne X 基态、CO provider、MgO 嵌入三个小例子已执行并通过声明的软件检查。12 个完整科学案例、材料实验和产业性能验证尚未完成。</w:t>
      </w:r>
    </w:p>
    <w:p>
      <w:r>
        <w:t>原始来源、已实现接口与研究边界见</w:t>
      </w:r>
      <w:hyperlink r:id="rId9">
        <w:r>
          <w:rPr>
            <w:color w:val="24648B"/>
          </w:rPr>
          <w:t>完整文档</w:t>
        </w:r>
      </w:hyperlink>
      <w:r>
        <w:t>。主题按用户给定要求组织，未据平台入口声称已确认当期完整评分规则，也未报名或提交。</w:t>
      </w:r>
    </w:p>
    <w:sectPr w:rsidR="00FC693F" w:rsidRPr="0006063C" w:rsidSect="00034616"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Atomx · 原子分子晶体谱学与未来产业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&#30740;&#31350;&#20307;&#31995;&#19982;&#26696;&#20363;&#35774;&#35745;.md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