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531342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/>
          <w:sz w:val="32"/>
        </w:rPr>
        <w:t>李哲夫（2023011400 生32）科研训练月度报告（第7份）</w:t>
      </w:r>
    </w:p>
    <w:p w14:paraId="26639C5B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/>
          <w:sz w:val="28"/>
        </w:rPr>
        <w:t>2026年5月</w:t>
      </w:r>
    </w:p>
    <w:p w14:paraId="4F373400">
      <w:pPr>
        <w:rPr>
          <w:rFonts w:hint="default" w:ascii="Times New Roman" w:hAnsi="Times New Roman" w:cs="Times New Roman"/>
        </w:rPr>
      </w:pPr>
    </w:p>
    <w:p w14:paraId="40D9145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课题名称：SubCellSpace：亚细胞水平空间转录组学数据库与分析平台开发</w:t>
      </w:r>
    </w:p>
    <w:p w14:paraId="1D169D6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sz w:val="22"/>
        </w:rPr>
        <w:t>工作日期：2026.04.18 至 2026.05.15　　　周平均工作时间：30小时</w:t>
      </w:r>
    </w:p>
    <w:p w14:paraId="3D5F096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646464"/>
          <w:sz w:val="20"/>
        </w:rPr>
        <w:t>项目地址：https://github.com/zf-li23/SubCellSpace</w:t>
      </w:r>
    </w:p>
    <w:p w14:paraId="22216C93">
      <w:pPr>
        <w:rPr>
          <w:rFonts w:hint="default" w:ascii="Times New Roman" w:hAnsi="Times New Roman" w:cs="Times New Roman"/>
        </w:rPr>
      </w:pPr>
    </w:p>
    <w:p w14:paraId="3867B86E">
      <w:pPr>
        <w:spacing w:before="240"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/>
          <w:sz w:val="28"/>
        </w:rPr>
        <w:t>一、本月实验计划</w:t>
      </w:r>
      <w:bookmarkStart w:id="0" w:name="_GoBack"/>
      <w:bookmarkEnd w:id="0"/>
    </w:p>
    <w:p w14:paraId="580A79C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sz w:val="22"/>
        </w:rPr>
        <w:t>本月的工作重心是对 SubCellSpace 项目进行全面开发与完善，整体目标分为以下四个层面：</w:t>
      </w:r>
    </w:p>
    <w:p w14:paraId="1C47119F">
      <w:pPr>
        <w:ind w:left="56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sz w:val="20"/>
        </w:rPr>
        <w:t>• 数据库系统全面建设。设计统一数据集元数据 Schema，整合 CosMx / Xenium / MERFISH 三个平台的数据集信息，建立自描述的 ID 编号体系（{D|M|R}{平台编号}{序号}，其中 D=Standard, M=Merged, R=Raw_Fragment）。实现 SQLite 数据库的构建、导出（CSV + JSON）与校验工具链。预期成果为一个包含千余条记录、支持结构化查询的关系型数据库，并提供 CLI 操作接口（subcellspace db export|import|validate）。</w:t>
      </w:r>
    </w:p>
    <w:p w14:paraId="69602CAD">
      <w:pPr>
        <w:ind w:left="56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sz w:val="20"/>
        </w:rPr>
        <w:t>• 前端数据浏览与编辑系统。开发基于 React 18 + TypeScript + Vite 的静态数据浏览器（DataBrowser）和开发模式下的数据编辑器（DataEditor）。DataBrowser 需实现按类别分组表头、全文搜索、多维度筛选（平台/状态/类型）、多列排序、分页浏览（25/50/100/All）等功能，且保持纯静态特性（零 API 依赖）。DataEditor 仅在开发模式下可访问，需支持行内编辑（双击单元格）、增删行、批量删除、行顺序调整等 CRUD 操作，并在每次变更后自动重新导出 CSV 和 JSON。</w:t>
      </w:r>
    </w:p>
    <w:p w14:paraId="0E69D128">
      <w:pPr>
        <w:ind w:left="56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sz w:val="20"/>
        </w:rPr>
        <w:t>• Xenium 平台数据大规模扩展。将 Xenium 数据集从原有 53 条扩展至 200 条以上，系统性覆盖 GEO（Gene Expression Omnibus）数据库中公开发布的 Xenium 空间转录组学数据集。需从 GEO 元数据（accession ID、标题、物种、组织、发表日期、提交机构等）中提取关键字段，并按照统一 Schema 标准化导入。</w:t>
      </w:r>
    </w:p>
    <w:p w14:paraId="5C5D551E">
      <w:pPr>
        <w:ind w:left="56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sz w:val="20"/>
        </w:rPr>
        <w:t>• 管线与前端功能完善。优化 9 步分析管线（Denoise → Patchify → Segmentation → Spatial Domain → Subcellular Domain → Analysis → Annotation → Spatial Analysis → Subcellular Analysis）的性能与鲁棒性，完善 ReportPage 的 8 步结果可视化，开发交互式散点图（SVG/Canvas 自适应切换）和细胞详情面板，建立 CI/CD 管道（ruff + mypy + pytest 自动检查）。</w:t>
      </w:r>
    </w:p>
    <w:p w14:paraId="567A8061">
      <w:pPr>
        <w:rPr>
          <w:rFonts w:hint="default" w:ascii="Times New Roman" w:hAnsi="Times New Roman" w:cs="Times New Roman"/>
        </w:rPr>
      </w:pPr>
    </w:p>
    <w:p w14:paraId="0E9A27A4">
      <w:pPr>
        <w:spacing w:before="240"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/>
          <w:sz w:val="28"/>
        </w:rPr>
        <w:t>二、本月实验完成情况</w:t>
      </w:r>
    </w:p>
    <w:p w14:paraId="6470309A">
      <w:pPr>
        <w:spacing w:before="240"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/>
          <w:sz w:val="24"/>
        </w:rPr>
        <w:t>2.1 数据库系统全面建设</w:t>
      </w:r>
    </w:p>
    <w:p w14:paraId="11E593B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sz w:val="20"/>
        </w:rPr>
        <w:t>本月完成了 SubCellSpace 统一数据集的全面建设，建立了以 SQLite 为中心、CSV 和 JSON 为导出格式的三层数据存储架构。数据库采用 19 列 5 大类别的精简 Schema：(1) 标识与归属（4列：id, project_id, platform, name）；(2) 出版与溯源（4列：project_url, download_url, publication_doi, data_source）；(3) 生物学上下文（3列：species, tissue, disease_state）；(4) 技术与规模（6列：spatial_resolution_um, gene_panel_size, estimated_cell_count, data_size_bytes, data_size_display, status）；(5) 本地存储路径（2列：local_path, file_name）。</w:t>
      </w:r>
    </w:p>
    <w:p w14:paraId="3C0BF82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sz w:val="20"/>
        </w:rPr>
        <w:t>设计了自描述的 ID 编号方案 {D|M|R}{平台编号}{序号}，其中前缀 D/M/R 分别代表 Standard（标准数据集）、Merged（合并数据集）、Raw_Fragment（原始 FOV 片段），百位数字 0/1/2 分别编码 CosMx/Xenium/MERFISH 平台。该方案使得仅通过 ID 即可判断数据集的类型和所属平台，无需冗余字段。最终整合了 1,437 条数据集记录，涵盖 CosMx（1,069条）、Xenium（350条）和 MERFISH（18条）三个平台。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9"/>
        <w:gridCol w:w="1659"/>
        <w:gridCol w:w="1659"/>
        <w:gridCol w:w="1660"/>
        <w:gridCol w:w="1659"/>
      </w:tblGrid>
      <w:tr w14:paraId="4EFA4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33D7668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8"/>
              </w:rPr>
              <w:t>类别</w:t>
            </w:r>
          </w:p>
        </w:tc>
        <w:tc>
          <w:tcPr>
            <w:tcW w:w="1661" w:type="dxa"/>
          </w:tcPr>
          <w:p w14:paraId="3C0EB3C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8"/>
              </w:rPr>
              <w:t>CosMx</w:t>
            </w:r>
          </w:p>
        </w:tc>
        <w:tc>
          <w:tcPr>
            <w:tcW w:w="1661" w:type="dxa"/>
          </w:tcPr>
          <w:p w14:paraId="23F84B1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8"/>
              </w:rPr>
              <w:t>Xenium</w:t>
            </w:r>
          </w:p>
        </w:tc>
        <w:tc>
          <w:tcPr>
            <w:tcW w:w="1661" w:type="dxa"/>
          </w:tcPr>
          <w:p w14:paraId="5D85766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8"/>
              </w:rPr>
              <w:t>MERFISH</w:t>
            </w:r>
          </w:p>
        </w:tc>
        <w:tc>
          <w:tcPr>
            <w:tcW w:w="1661" w:type="dxa"/>
          </w:tcPr>
          <w:p w14:paraId="4185EFF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8"/>
              </w:rPr>
              <w:t>合计</w:t>
            </w:r>
          </w:p>
        </w:tc>
      </w:tr>
      <w:tr w14:paraId="3CF47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4EC7DD7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总行数</w:t>
            </w:r>
          </w:p>
        </w:tc>
        <w:tc>
          <w:tcPr>
            <w:tcW w:w="1661" w:type="dxa"/>
          </w:tcPr>
          <w:p w14:paraId="1804675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1,069</w:t>
            </w:r>
          </w:p>
        </w:tc>
        <w:tc>
          <w:tcPr>
            <w:tcW w:w="1661" w:type="dxa"/>
          </w:tcPr>
          <w:p w14:paraId="237375B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350</w:t>
            </w:r>
          </w:p>
        </w:tc>
        <w:tc>
          <w:tcPr>
            <w:tcW w:w="1661" w:type="dxa"/>
          </w:tcPr>
          <w:p w14:paraId="7F9BCEF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18</w:t>
            </w:r>
          </w:p>
        </w:tc>
        <w:tc>
          <w:tcPr>
            <w:tcW w:w="1661" w:type="dxa"/>
          </w:tcPr>
          <w:p w14:paraId="13963FE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1,437</w:t>
            </w:r>
          </w:p>
        </w:tc>
      </w:tr>
      <w:tr w14:paraId="209A4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1ECD127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标准数据集 (D)</w:t>
            </w:r>
          </w:p>
        </w:tc>
        <w:tc>
          <w:tcPr>
            <w:tcW w:w="1661" w:type="dxa"/>
          </w:tcPr>
          <w:p w14:paraId="0781E0F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62</w:t>
            </w:r>
          </w:p>
        </w:tc>
        <w:tc>
          <w:tcPr>
            <w:tcW w:w="1661" w:type="dxa"/>
          </w:tcPr>
          <w:p w14:paraId="4168836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350</w:t>
            </w:r>
          </w:p>
        </w:tc>
        <w:tc>
          <w:tcPr>
            <w:tcW w:w="1661" w:type="dxa"/>
          </w:tcPr>
          <w:p w14:paraId="2C9F6AC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18</w:t>
            </w:r>
          </w:p>
        </w:tc>
        <w:tc>
          <w:tcPr>
            <w:tcW w:w="1661" w:type="dxa"/>
          </w:tcPr>
          <w:p w14:paraId="6C69122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430</w:t>
            </w:r>
          </w:p>
        </w:tc>
      </w:tr>
      <w:tr w14:paraId="6E9DC5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4530AC0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合并数据集 (M)</w:t>
            </w:r>
          </w:p>
        </w:tc>
        <w:tc>
          <w:tcPr>
            <w:tcW w:w="1661" w:type="dxa"/>
          </w:tcPr>
          <w:p w14:paraId="3F74C80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8</w:t>
            </w:r>
          </w:p>
        </w:tc>
        <w:tc>
          <w:tcPr>
            <w:tcW w:w="1661" w:type="dxa"/>
          </w:tcPr>
          <w:p w14:paraId="02A44BB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0</w:t>
            </w:r>
          </w:p>
        </w:tc>
        <w:tc>
          <w:tcPr>
            <w:tcW w:w="1661" w:type="dxa"/>
          </w:tcPr>
          <w:p w14:paraId="590B8DF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0</w:t>
            </w:r>
          </w:p>
        </w:tc>
        <w:tc>
          <w:tcPr>
            <w:tcW w:w="1661" w:type="dxa"/>
          </w:tcPr>
          <w:p w14:paraId="34E6CCB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8</w:t>
            </w:r>
          </w:p>
        </w:tc>
      </w:tr>
      <w:tr w14:paraId="112589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36AF9F8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Raw Fragment (R)</w:t>
            </w:r>
          </w:p>
        </w:tc>
        <w:tc>
          <w:tcPr>
            <w:tcW w:w="1661" w:type="dxa"/>
          </w:tcPr>
          <w:p w14:paraId="79D06B2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999</w:t>
            </w:r>
          </w:p>
        </w:tc>
        <w:tc>
          <w:tcPr>
            <w:tcW w:w="1661" w:type="dxa"/>
          </w:tcPr>
          <w:p w14:paraId="1BA7BFE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0</w:t>
            </w:r>
          </w:p>
        </w:tc>
        <w:tc>
          <w:tcPr>
            <w:tcW w:w="1661" w:type="dxa"/>
          </w:tcPr>
          <w:p w14:paraId="783A8B3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0</w:t>
            </w:r>
          </w:p>
        </w:tc>
        <w:tc>
          <w:tcPr>
            <w:tcW w:w="1661" w:type="dxa"/>
          </w:tcPr>
          <w:p w14:paraId="708FE75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999</w:t>
            </w:r>
          </w:p>
        </w:tc>
      </w:tr>
      <w:tr w14:paraId="075C0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678BB7D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就绪 (Ready)</w:t>
            </w:r>
          </w:p>
        </w:tc>
        <w:tc>
          <w:tcPr>
            <w:tcW w:w="1661" w:type="dxa"/>
          </w:tcPr>
          <w:p w14:paraId="4788BE1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1,064</w:t>
            </w:r>
          </w:p>
        </w:tc>
        <w:tc>
          <w:tcPr>
            <w:tcW w:w="1661" w:type="dxa"/>
          </w:tcPr>
          <w:p w14:paraId="5807845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128</w:t>
            </w:r>
          </w:p>
        </w:tc>
        <w:tc>
          <w:tcPr>
            <w:tcW w:w="1661" w:type="dxa"/>
          </w:tcPr>
          <w:p w14:paraId="2B6DF77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18</w:t>
            </w:r>
          </w:p>
        </w:tc>
        <w:tc>
          <w:tcPr>
            <w:tcW w:w="1661" w:type="dxa"/>
          </w:tcPr>
          <w:p w14:paraId="6F260E3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1,210</w:t>
            </w:r>
          </w:p>
        </w:tc>
      </w:tr>
      <w:tr w14:paraId="4762A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092DC4E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待补全 (Pending)</w:t>
            </w:r>
          </w:p>
        </w:tc>
        <w:tc>
          <w:tcPr>
            <w:tcW w:w="1661" w:type="dxa"/>
          </w:tcPr>
          <w:p w14:paraId="18D7EAC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5</w:t>
            </w:r>
          </w:p>
        </w:tc>
        <w:tc>
          <w:tcPr>
            <w:tcW w:w="1661" w:type="dxa"/>
          </w:tcPr>
          <w:p w14:paraId="6097ED3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222</w:t>
            </w:r>
          </w:p>
        </w:tc>
        <w:tc>
          <w:tcPr>
            <w:tcW w:w="1661" w:type="dxa"/>
          </w:tcPr>
          <w:p w14:paraId="6EA0439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0</w:t>
            </w:r>
          </w:p>
        </w:tc>
        <w:tc>
          <w:tcPr>
            <w:tcW w:w="1661" w:type="dxa"/>
          </w:tcPr>
          <w:p w14:paraId="5B6EE3B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227</w:t>
            </w:r>
          </w:p>
        </w:tc>
      </w:tr>
    </w:tbl>
    <w:p w14:paraId="6F94CA8F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sz w:val="18"/>
        </w:rPr>
        <w:t>表1. 数据库平台与类型分布统计</w:t>
      </w:r>
    </w:p>
    <w:p w14:paraId="473D99F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sz w:val="20"/>
        </w:rPr>
        <w:t>数据库共包含 430 条标准数据集（D 前缀）、8 条合并数据集（M 前缀）和 999 条原始 FOV 片段（R 前缀，均为 CosMx 数据）。数据就绪率为 84.2%（1,210/1,437），其中 CosMx 几乎全部就绪（99.5%）、MERFISH 完全就绪（100%）。建立了完整的数据管理工具链：subcellspace db export（导出 CSV + JSON）、subcellspace db import（从 CSV 重新导入数据库）、subcellspace db validate（数据库完整性校验，自动检测空必填字段和行数异常）。</w:t>
      </w:r>
    </w:p>
    <w:p w14:paraId="2C7EE448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303520" cy="4057650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058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BDF2C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sz w:val="18"/>
        </w:rPr>
        <w:t>图1. 数据库组合与状态总览。(a) 三平台数据集分布（饼图）；(b) 数据类型分布（Standard / Fragment / Merged）；(c) 各平台就绪与待补全状态对比；(d) Xenium 平台数据量从 Phase 3（53条）到 Phase 4（350条）的扩展。</w:t>
      </w:r>
    </w:p>
    <w:p w14:paraId="5DDBA2C7">
      <w:pPr>
        <w:spacing w:before="240"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/>
          <w:sz w:val="24"/>
        </w:rPr>
        <w:t>2.2 Xenium 数据大规模扩展</w:t>
      </w:r>
    </w:p>
    <w:p w14:paraId="7E3D720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sz w:val="20"/>
        </w:rPr>
        <w:t>本月最重要的数据成果是 Xenium 平台数据库实现了从 53 条到 350 条的大规模扩展（增长 560%）。这项工作涉及对 GEO 数据库中以 'Xenium' 为关键词的公开数据集进行全面检索，系统性地提取每个数据集的元数据（GEO accession ID、标题、物种、组织、发表日期、提交机构等），按照 19 列 Schema 标准化后批量导入 SQLite 数据库。新导入的 297 条数据集中，128 条为 ready 状态（具备完整 URL 和元数据），222 条为 pending 状态（有待后续补充 download_url 和 estimated_cell_count）。</w:t>
      </w:r>
    </w:p>
    <w:p w14:paraId="71FD521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sz w:val="20"/>
        </w:rPr>
        <w:t>Xenium 扩展使得项目的数据集总数从 1,140 增长至 1,437 条，独立项目数从约 50 个增长至 257 个（其中 Xenium 独占 213 个项目），显著提升了数据库的代表性和覆盖广度。Xenium 数据集涵盖脑、乳腺、肺、结肠、胰腺、肾脏、脊髓、皮肤等多个人体和小鼠组织，数据来源方以 GEO（公开发布数据集）为主，辅以 10x Genomics 官方发布的数据集。</w:t>
      </w:r>
    </w:p>
    <w:p w14:paraId="22F6CCF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sz w:val="20"/>
        </w:rPr>
        <w:t>Xenium 扩展的技术实现分为四个步骤：(1) 使用 GEOmetadb SQLite 数据库离线检索 GEO 元数据，筛选包含 'Xenium' 关键词的记录；(2) 编写 Python 脚本（scripts/scrape_xenium_doi.py）解析 GEO XML 输出，提取 accession ID、标题、物种、组织、摘要、提交日期等字段；(3) 按照 19 列 Schema 格式化数据，自动分配 D{1}{seq} 格式的 ID 和 P{1}{seq} 格式的 project_id；(4) 使用 subcellspace db import 将 CSV 批量导入 SQLite，并执行 db validate 校验完整性。整个流程可重复执行，支持增量更新。</w:t>
      </w:r>
    </w:p>
    <w:p w14:paraId="541930A4">
      <w:pPr>
        <w:spacing w:before="240"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/>
          <w:sz w:val="24"/>
        </w:rPr>
        <w:t>2.3 数据完整度与生物学覆盖</w:t>
      </w:r>
    </w:p>
    <w:p w14:paraId="7918025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sz w:val="20"/>
        </w:rPr>
        <w:t>对数据库中关键列的填充率进行了统计分析（图2）。project_url（项目链接）覆盖率为 100%（所有 1,437 条均已填写），download_url（下载链接）覆盖率为 37.2%（535/1,437），publication_doi（出版 DOI）覆盖率为 16.6%（238/1,437），estimated_cell_count（预估细胞数）覆盖率仅为 4.3%（62/1,437）。download_url 和 estimated_cell_count 是 Phase 4 数据补录的核心目标列。</w:t>
      </w:r>
    </w:p>
    <w:p w14:paraId="5DF5222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sz w:val="20"/>
        </w:rPr>
        <w:t>生物学覆盖方面，数据库涵盖 Homo sapiens（1,106条）和 Mus musculus（331条）两个物种，32 种组织器官。组织分布呈现不均匀特征：肝脏（Liver）以 709 条高居首位（主要来自 CosMx 平台的大量 FOV 片段数据），其次为脑（Brain, 249条）、肺（Lung, 135条）、结肠（Colon, 30条）、胰腺（Pancreas, 27条）等。数据来源方包括 Nanostring（897条，主要提供 CosMx 数据）、GEO（439条，主要提供 Xenium 公开数据）、10x Genomics（82条）、Vizgen（18条，MERFISH）和 Zenodo（1条）。</w:t>
      </w:r>
    </w:p>
    <w:p w14:paraId="3F9E1ACA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303520" cy="3744595"/>
            <wp:effectExtent l="0" t="0" r="1905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44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976D6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sz w:val="18"/>
        </w:rPr>
        <w:t>图2. 数据景观分析。(a) 关键列填充率（project_url / download_url / DOI / cell count）；(b) 物种分布；(c) Top 10 组织器官分布（按数据集数量降序）；(d) 数据来源方分布。</w:t>
      </w:r>
    </w:p>
    <w:p w14:paraId="1E2497C3">
      <w:pPr>
        <w:spacing w:before="240"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/>
          <w:sz w:val="24"/>
        </w:rPr>
        <w:t>2.4 前端数据浏览与编辑系统</w:t>
      </w:r>
    </w:p>
    <w:p w14:paraId="752300B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sz w:val="20"/>
        </w:rPr>
        <w:t>本月完成了前端两大核心页面的开发与测试。DataBrowser（静态数据浏览器）以纯静态方式从 public/datasets.json 加载数据，零 API 依赖，支持按 5 大类别分组表头、全文搜索（模糊匹配）、平台/状态/类型筛选、多列排序（单击列头切换升降序）、可点击的 URL 链接渲染、行详情弹窗（显示所有字段）、分页控制（25/50/100/All）。默认隐藏 Raw_Fragment 类别的 999 条 FOV 片段数据（可通过勾选框切换显示），避免干扰标准数据集的浏览体验。</w:t>
      </w:r>
    </w:p>
    <w:p w14:paraId="09E8214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sz w:val="20"/>
        </w:rPr>
        <w:t>DataEditor（数据编辑器）仅在开发模式（import.meta.env.DEV）下通过 /editor 路由访问，提供完整的 CRUD 操作：(1) 行内编辑——双击单元格进入编辑模式，修改后点击 ✓ 保存或 ✕ 取消；(2) 添加行——点击 Add 按钮，填写新行表单后提交，系统自动生成符合 ID 编号规则的新 ID；(3) 删除行——单行删除（确认弹窗）和批量删除（勾选多行后一键删除）；(4) 行顺序调整——通过 ▲▼ 按钮上下移动行；(5) 自动重新导出——每次变更（增删改）后自动触发 db export，更新 datasets.csv 和 datasets.json。</w:t>
      </w:r>
    </w:p>
    <w:p w14:paraId="7D91622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sz w:val="20"/>
        </w:rPr>
        <w:t>前端技术栈：React 18 + TypeScript + Vite + react-router-dom v6 + TanStack Query v5。Test 覆盖：Vitest + Testing Library，8 个测试（5 个 API 测试 + 3 个 ErrorBoundary 测试）全部通过。TypeScript 编译零错误，Vite 生产构建成功。</w:t>
      </w:r>
    </w:p>
    <w:p w14:paraId="1EBC960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sz w:val="20"/>
        </w:rPr>
        <w:t>在本次报告编写期间，发现并修复了 api_server.py 中 Pydantic 模型（DatasetRowModel）与数据库 Schema 的字段漂移问题。旧模型中残留了 name_zh、name_en、record_type、merged_from_ids 四个已删除字段，且 id 字段类型错误地使用了 int 而非 str（实际 ID 格式如 D1001 为字符串）。修复后的模型严格对齐 19 列 Schema，DataEditor 的 API 端点（GET/POST/PUT/DELETE /api/db/datasets）已恢复正常工作。同时修复了 subcellspace db validate 命令中引用已删除列名 name_zh 的 bug。这些修复确保了前后端数据的正确流通，并已通过 subcellspace db validate 验证。</w:t>
      </w:r>
    </w:p>
    <w:p w14:paraId="7BDF4CE0">
      <w:pPr>
        <w:spacing w:before="240"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/>
          <w:sz w:val="24"/>
        </w:rPr>
        <w:t>2.5 管线架构与代码工程</w:t>
      </w:r>
    </w:p>
    <w:p w14:paraId="2C762E6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sz w:val="20"/>
        </w:rPr>
        <w:t>SubCellSpace 的分析管线采用插件式架构（图3b），通过 @register_backend 装饰器实现后端的动态注册与发现，新增后端无需修改管线引擎代码。9 个 Pipeline 步骤共支持 28 个可选后端（去噪 4 + 分块 2 + 分割 4 + 空间域 3 + 亚细胞域 5 + 聚类 3 + 注释 3 + 空间分析 2 + 亚细胞分析 2）。管线引擎（pipeline_engine.py）通过统一的 ExecutionContext 在步骤间传递数据，每个步骤由注册的 Runner 函数执行 I/O 逻辑，步骤间数据契约通过 STEP_CONTRACTS 自动校验。</w:t>
      </w:r>
    </w:p>
    <w:p w14:paraId="0523C6A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sz w:val="20"/>
        </w:rPr>
        <w:t>本月代码工程方面的重要工作包括：(1) 完善了 Pipeline 配置系统（三层覆盖：YAML → 环境变量 → 程序化参数），支持通过 SUBCELLSPACE_ 环境变量前缀动态覆盖任何配置项；(2) 统一了错误处理体系（PipelineError 基类及 StepError / ContractError / DataError 子类），所有管线异常携带结构化的 step_name / backend / original 上下文；(3) 建立了 CI/CD 管道（GitHub Actions），自动执行 ruff lint、mypy 类型检查（strict 模式）和 pytest 测试（173 用例），并包含 CosMx / Xenium / MERFISH 三平台的端到端 smoke test；(4) 代码总量约 7,600 行 Python + 2,100 行 TypeScript，测试代码约 2,400 行（32% 测试覆盖率）。</w:t>
      </w:r>
    </w:p>
    <w:p w14:paraId="46A90A5A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303520" cy="4009390"/>
            <wp:effectExtent l="0" t="0" r="1905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009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3B20F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sz w:val="18"/>
        </w:rPr>
        <w:t>图3. 架构总览。(a) 19 列数据库 Schema 的 5 大类别；(b) 9 步管线每步可选后端数量（共 28 个）；(c) 各平台包含的独立项目数（共 257 项）；(d) 后端代码分布（按模块，约 7,600 行 Python）。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4"/>
        <w:gridCol w:w="1522"/>
        <w:gridCol w:w="1559"/>
        <w:gridCol w:w="1344"/>
        <w:gridCol w:w="2527"/>
      </w:tblGrid>
      <w:tr w14:paraId="52FF0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7B1FDEA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步骤</w:t>
            </w:r>
          </w:p>
        </w:tc>
        <w:tc>
          <w:tcPr>
            <w:tcW w:w="1661" w:type="dxa"/>
          </w:tcPr>
          <w:p w14:paraId="7F902C0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名称</w:t>
            </w:r>
          </w:p>
        </w:tc>
        <w:tc>
          <w:tcPr>
            <w:tcW w:w="1661" w:type="dxa"/>
          </w:tcPr>
          <w:p w14:paraId="02884C9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默认后端</w:t>
            </w:r>
          </w:p>
        </w:tc>
        <w:tc>
          <w:tcPr>
            <w:tcW w:w="1661" w:type="dxa"/>
          </w:tcPr>
          <w:p w14:paraId="4B93572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后端数</w:t>
            </w:r>
          </w:p>
        </w:tc>
        <w:tc>
          <w:tcPr>
            <w:tcW w:w="1661" w:type="dxa"/>
          </w:tcPr>
          <w:p w14:paraId="2494A9A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可选后端</w:t>
            </w:r>
          </w:p>
        </w:tc>
      </w:tr>
      <w:tr w14:paraId="66FCE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775DB5B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1</w:t>
            </w:r>
          </w:p>
        </w:tc>
        <w:tc>
          <w:tcPr>
            <w:tcW w:w="1661" w:type="dxa"/>
          </w:tcPr>
          <w:p w14:paraId="22D9F46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Denoise</w:t>
            </w:r>
          </w:p>
        </w:tc>
        <w:tc>
          <w:tcPr>
            <w:tcW w:w="1661" w:type="dxa"/>
          </w:tcPr>
          <w:p w14:paraId="7F2000B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intracellular</w:t>
            </w:r>
          </w:p>
        </w:tc>
        <w:tc>
          <w:tcPr>
            <w:tcW w:w="1661" w:type="dxa"/>
          </w:tcPr>
          <w:p w14:paraId="6DAD50D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4</w:t>
            </w:r>
          </w:p>
        </w:tc>
        <w:tc>
          <w:tcPr>
            <w:tcW w:w="1661" w:type="dxa"/>
          </w:tcPr>
          <w:p w14:paraId="08E602A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none / intracellular / nuclear_only / sparc</w:t>
            </w:r>
          </w:p>
        </w:tc>
      </w:tr>
      <w:tr w14:paraId="1D952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3D02D28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2</w:t>
            </w:r>
          </w:p>
        </w:tc>
        <w:tc>
          <w:tcPr>
            <w:tcW w:w="1661" w:type="dxa"/>
          </w:tcPr>
          <w:p w14:paraId="0BF774E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Patchify</w:t>
            </w:r>
          </w:p>
        </w:tc>
        <w:tc>
          <w:tcPr>
            <w:tcW w:w="1661" w:type="dxa"/>
          </w:tcPr>
          <w:p w14:paraId="45E1DB7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none</w:t>
            </w:r>
          </w:p>
        </w:tc>
        <w:tc>
          <w:tcPr>
            <w:tcW w:w="1661" w:type="dxa"/>
          </w:tcPr>
          <w:p w14:paraId="09C5D6C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2</w:t>
            </w:r>
          </w:p>
        </w:tc>
        <w:tc>
          <w:tcPr>
            <w:tcW w:w="1661" w:type="dxa"/>
          </w:tcPr>
          <w:p w14:paraId="3E7ED61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none / grid (Snakemake parallel)</w:t>
            </w:r>
          </w:p>
        </w:tc>
      </w:tr>
      <w:tr w14:paraId="0B4BE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74C4172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3</w:t>
            </w:r>
          </w:p>
        </w:tc>
        <w:tc>
          <w:tcPr>
            <w:tcW w:w="1661" w:type="dxa"/>
          </w:tcPr>
          <w:p w14:paraId="23E557A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Segmentation</w:t>
            </w:r>
          </w:p>
        </w:tc>
        <w:tc>
          <w:tcPr>
            <w:tcW w:w="1661" w:type="dxa"/>
          </w:tcPr>
          <w:p w14:paraId="6EAF073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provided_cells</w:t>
            </w:r>
          </w:p>
        </w:tc>
        <w:tc>
          <w:tcPr>
            <w:tcW w:w="1661" w:type="dxa"/>
          </w:tcPr>
          <w:p w14:paraId="28C24DF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4</w:t>
            </w:r>
          </w:p>
        </w:tc>
        <w:tc>
          <w:tcPr>
            <w:tcW w:w="1661" w:type="dxa"/>
          </w:tcPr>
          <w:p w14:paraId="28BF984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provided_cells / fov_cell_id / cellpose / baysor</w:t>
            </w:r>
          </w:p>
        </w:tc>
      </w:tr>
      <w:tr w14:paraId="6082D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288E634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4</w:t>
            </w:r>
          </w:p>
        </w:tc>
        <w:tc>
          <w:tcPr>
            <w:tcW w:w="1661" w:type="dxa"/>
          </w:tcPr>
          <w:p w14:paraId="45F8FE8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Spatial Domain</w:t>
            </w:r>
          </w:p>
        </w:tc>
        <w:tc>
          <w:tcPr>
            <w:tcW w:w="1661" w:type="dxa"/>
          </w:tcPr>
          <w:p w14:paraId="00218F1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spatial_leiden</w:t>
            </w:r>
          </w:p>
        </w:tc>
        <w:tc>
          <w:tcPr>
            <w:tcW w:w="1661" w:type="dxa"/>
          </w:tcPr>
          <w:p w14:paraId="509683A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3</w:t>
            </w:r>
          </w:p>
        </w:tc>
        <w:tc>
          <w:tcPr>
            <w:tcW w:w="1661" w:type="dxa"/>
          </w:tcPr>
          <w:p w14:paraId="42C72F5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spatial_leiden / spatial_kmeans / graphst</w:t>
            </w:r>
          </w:p>
        </w:tc>
      </w:tr>
      <w:tr w14:paraId="08CE2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4048395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5</w:t>
            </w:r>
          </w:p>
        </w:tc>
        <w:tc>
          <w:tcPr>
            <w:tcW w:w="1661" w:type="dxa"/>
          </w:tcPr>
          <w:p w14:paraId="5E07A5D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Subcellular Domain</w:t>
            </w:r>
          </w:p>
        </w:tc>
        <w:tc>
          <w:tcPr>
            <w:tcW w:w="1661" w:type="dxa"/>
          </w:tcPr>
          <w:p w14:paraId="53D1553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hdbscan</w:t>
            </w:r>
          </w:p>
        </w:tc>
        <w:tc>
          <w:tcPr>
            <w:tcW w:w="1661" w:type="dxa"/>
          </w:tcPr>
          <w:p w14:paraId="048B4B8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5</w:t>
            </w:r>
          </w:p>
        </w:tc>
        <w:tc>
          <w:tcPr>
            <w:tcW w:w="1661" w:type="dxa"/>
          </w:tcPr>
          <w:p w14:paraId="2521D23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hdbscan / dbscan / leiden_spatial / phenograph / none</w:t>
            </w:r>
          </w:p>
        </w:tc>
      </w:tr>
      <w:tr w14:paraId="69ACF4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00EA737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6</w:t>
            </w:r>
          </w:p>
        </w:tc>
        <w:tc>
          <w:tcPr>
            <w:tcW w:w="1661" w:type="dxa"/>
          </w:tcPr>
          <w:p w14:paraId="5D6E8B4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Analysis</w:t>
            </w:r>
          </w:p>
        </w:tc>
        <w:tc>
          <w:tcPr>
            <w:tcW w:w="1661" w:type="dxa"/>
          </w:tcPr>
          <w:p w14:paraId="6C661CE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leiden</w:t>
            </w:r>
          </w:p>
        </w:tc>
        <w:tc>
          <w:tcPr>
            <w:tcW w:w="1661" w:type="dxa"/>
          </w:tcPr>
          <w:p w14:paraId="683CFB6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3</w:t>
            </w:r>
          </w:p>
        </w:tc>
        <w:tc>
          <w:tcPr>
            <w:tcW w:w="1661" w:type="dxa"/>
          </w:tcPr>
          <w:p w14:paraId="41F2FF3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leiden / kmeans / scvi</w:t>
            </w:r>
          </w:p>
        </w:tc>
      </w:tr>
      <w:tr w14:paraId="6CCA8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5BEB6C4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7</w:t>
            </w:r>
          </w:p>
        </w:tc>
        <w:tc>
          <w:tcPr>
            <w:tcW w:w="1661" w:type="dxa"/>
          </w:tcPr>
          <w:p w14:paraId="38EB778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Annotation</w:t>
            </w:r>
          </w:p>
        </w:tc>
        <w:tc>
          <w:tcPr>
            <w:tcW w:w="1661" w:type="dxa"/>
          </w:tcPr>
          <w:p w14:paraId="718E7DD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rank_marker</w:t>
            </w:r>
          </w:p>
        </w:tc>
        <w:tc>
          <w:tcPr>
            <w:tcW w:w="1661" w:type="dxa"/>
          </w:tcPr>
          <w:p w14:paraId="7B56FE5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3</w:t>
            </w:r>
          </w:p>
        </w:tc>
        <w:tc>
          <w:tcPr>
            <w:tcW w:w="1661" w:type="dxa"/>
          </w:tcPr>
          <w:p w14:paraId="672FACF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rank_marker / cluster_label / celltypist</w:t>
            </w:r>
          </w:p>
        </w:tc>
      </w:tr>
      <w:tr w14:paraId="268B6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36DE8B5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8</w:t>
            </w:r>
          </w:p>
        </w:tc>
        <w:tc>
          <w:tcPr>
            <w:tcW w:w="1661" w:type="dxa"/>
          </w:tcPr>
          <w:p w14:paraId="053244E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Spatial Analysis</w:t>
            </w:r>
          </w:p>
        </w:tc>
        <w:tc>
          <w:tcPr>
            <w:tcW w:w="1661" w:type="dxa"/>
          </w:tcPr>
          <w:p w14:paraId="673B267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squidpy</w:t>
            </w:r>
          </w:p>
        </w:tc>
        <w:tc>
          <w:tcPr>
            <w:tcW w:w="1661" w:type="dxa"/>
          </w:tcPr>
          <w:p w14:paraId="3DD987A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2</w:t>
            </w:r>
          </w:p>
        </w:tc>
        <w:tc>
          <w:tcPr>
            <w:tcW w:w="1661" w:type="dxa"/>
          </w:tcPr>
          <w:p w14:paraId="507C394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squidpy (SVG/neighborhood/co-occurrence) / scfates (tree/pseudotime)</w:t>
            </w:r>
          </w:p>
        </w:tc>
      </w:tr>
      <w:tr w14:paraId="40991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2465F16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9</w:t>
            </w:r>
          </w:p>
        </w:tc>
        <w:tc>
          <w:tcPr>
            <w:tcW w:w="1661" w:type="dxa"/>
          </w:tcPr>
          <w:p w14:paraId="6FCE8F7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Subcellular Analysis</w:t>
            </w:r>
          </w:p>
        </w:tc>
        <w:tc>
          <w:tcPr>
            <w:tcW w:w="1661" w:type="dxa"/>
          </w:tcPr>
          <w:p w14:paraId="4A390E3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rna_localization</w:t>
            </w:r>
          </w:p>
        </w:tc>
        <w:tc>
          <w:tcPr>
            <w:tcW w:w="1661" w:type="dxa"/>
          </w:tcPr>
          <w:p w14:paraId="2A1BBA8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2</w:t>
            </w:r>
          </w:p>
        </w:tc>
        <w:tc>
          <w:tcPr>
            <w:tcW w:w="1661" w:type="dxa"/>
          </w:tcPr>
          <w:p w14:paraId="46474FD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rna_localization / scrin (co-localization network)</w:t>
            </w:r>
          </w:p>
        </w:tc>
      </w:tr>
    </w:tbl>
    <w:p w14:paraId="06F9F511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sz w:val="18"/>
        </w:rPr>
        <w:t>表2. SubCellSpace 9 步分析管线详情（28 个可选后端）</w:t>
      </w:r>
    </w:p>
    <w:p w14:paraId="14591499">
      <w:pPr>
        <w:rPr>
          <w:rFonts w:hint="default" w:ascii="Times New Roman" w:hAnsi="Times New Roman" w:cs="Times New Roman"/>
        </w:rPr>
      </w:pPr>
    </w:p>
    <w:p w14:paraId="326DEF9E">
      <w:pPr>
        <w:spacing w:before="240"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/>
          <w:sz w:val="28"/>
        </w:rPr>
        <w:t>三、本月实验小结</w:t>
      </w:r>
    </w:p>
    <w:p w14:paraId="5345EB0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sz w:val="20"/>
        </w:rPr>
        <w:t>本月工作围绕 SubCellSpace 项目的数据库系统建设展开，总体达成了预期目标，并在此基础上超额完成了 Xenium 数据扩展任务。具体总结如下：</w:t>
      </w:r>
    </w:p>
    <w:p w14:paraId="7EB1D5E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sz w:val="20"/>
        </w:rPr>
        <w:t>1. 数据库系统全面落地。从零开始设计并实现了 19 列的精简 Schema（对比早期 32 列的冗余 CSV，精简率达 40%），建立了自描述 ID 编号体系，构建了包含 1,437 条记录的 SQLite 数据库，开发了完整的 CLI 工具链（export / import / validate）。数据库设计在精简性、可维护性和查询效率上均显著优于早期方案。所有 ID 均按照统一规则编号，project_id 一致地映射到所属项目。Schema 中的 5 大类别清晰定义了数据集的各方面属性，便于后续的数据分析和前端展示。</w:t>
      </w:r>
    </w:p>
    <w:p w14:paraId="1880972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sz w:val="20"/>
        </w:rPr>
        <w:t>2. Xenium 数据扩展超额完成。原计划扩展至 200+ 条，实际完成了 350 条的导入（含 128 ready + 222 pending），增长 560%。独立项目数从约 50 个跃升至 257 个，其中 Xenium 贡献了 213 个项目。Xenium 的扩展显著提升了数据库的广度和代表性，使 SubCellSpace 成为目前覆盖最全面的 Xenium 空间转录组学元数据库之一。主要瓶颈在于 pending 行的 download_url 和 estimated_cell_count 需要从集群实际数据文件中计算，这是下一阶段的重点工作。</w:t>
      </w:r>
    </w:p>
    <w:p w14:paraId="518693C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sz w:val="20"/>
        </w:rPr>
        <w:t>3. 前端系统功能完备、架构清晰。DataBrowser 和 DataEditor 均已完成开发并通过测试。DataBrowser 以静态优先、API 解耦的架构实现了流畅的浏览体验；DataEditor 的开发模式专属路由（/editor）确保了生产环境的安全性。在本报告编写过程中，发现并修复了 api_server.py 中 Pydantic 模型与数据库 Schema 不一致的 bug——旧模型中残留的 name_zh、record_type 等已删除字段导致 DataEditor 的 API 端点无法正常工作，修复后数据前后端流通已完全恢复。这是一个典型的 schema 漂移问题，现已通过添加 subcellspace db validate 到 CI 管道和手动对比 COLUMNS 列表来防范重复发生。</w:t>
      </w:r>
    </w:p>
    <w:p w14:paraId="295191E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sz w:val="20"/>
        </w:rPr>
        <w:t>4. CI/CD 管道已就位。GitHub Actions 自动执行 ruff lint、mypy strict 类型检查和 pytest（173 用例），并包含 CosMx、Xenium、MERFISH 三平台的端到端 smoke test。所有代码变更均通过 CI 验证后方可合并。这为项目的长期维护和协作开发奠定了坚实基础。</w:t>
      </w:r>
    </w:p>
    <w:p w14:paraId="58DA8CC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sz w:val="20"/>
        </w:rPr>
        <w:t>5. 项目文档全面更新。完成了 AGENTS.md、plan.md、DATABASE_PLAN.md、README.md、pyproject.toml 等 6 份文档的同步更新，矫正了过时的数据统计（Xenium 数量从 53 更新为 350，总行数从 1,140 更新为 1,437），并建立了「每次数据变更后同步更新文档」的工作规范。此前文档数据与实际状态存在显著偏差，现已完全纠正。</w:t>
      </w:r>
    </w:p>
    <w:p w14:paraId="715BAD0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sz w:val="20"/>
        </w:rPr>
        <w:t>6. 技术问题与解决。(a) 图表生成时遇到 matplotlib 中文字体缺失问题——系统 AR PL UMing 字体可正常渲染中英文，但本次报告采用了 Python 默认字体（DejaVu Sans）和全英文标注的出版风格图表，彻底规避了字体问题；(b) api_server.py 中 DatasetRowModel 字段漂移问题——通过对比 schema.py 的 COLUMNS 列表，系统性地修复了所有不一致之处（共涉及 6 处修改）；(c) subcellspace db validate 使用了已删除列名 name_zh——已修复为正确的 name 列名。</w:t>
      </w:r>
    </w:p>
    <w:p w14:paraId="753F12B0">
      <w:pPr>
        <w:rPr>
          <w:rFonts w:hint="default" w:ascii="Times New Roman" w:hAnsi="Times New Roman" w:cs="Times New Roman"/>
        </w:rPr>
      </w:pPr>
    </w:p>
    <w:p w14:paraId="0D9FEAE6">
      <w:pPr>
        <w:spacing w:before="240"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/>
          <w:sz w:val="28"/>
        </w:rPr>
        <w:t>四、下月实验计划</w:t>
      </w:r>
    </w:p>
    <w:p w14:paraId="232E04AC">
      <w:pPr>
        <w:ind w:left="56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sz w:val="20"/>
        </w:rPr>
        <w:t>• Xenium 数据补全（Phase 4 收尾）。为 222 条 pending Xenium 行填充 download_url 和 estimated_cell_count。download_url 可从 GEO accession ID 拼接得出；estimated_cell_count 需登录集群服务器（a-cluster），从 /data3/yangxr002/Xenium/ 下的实际 .parquet 或 .h5ad 文件中计算细胞数量。计划编写自动化脚本批量处理，避免逐条手动操作。</w:t>
      </w:r>
    </w:p>
    <w:p w14:paraId="144A5421">
      <w:pPr>
        <w:ind w:left="56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sz w:val="20"/>
        </w:rPr>
        <w:t>• GEO Xenium tarball 解压与数据校验。集群上现有 37 个 Xenium GEO tarball（.tar 格式），需要编写 Slurm 作业脚本在集群上批量解压，验证解压后数据文件的完整性（文件大小、行数抽样校验），并将数据路径信息回填至数据库的 local_path 列。</w:t>
      </w:r>
    </w:p>
    <w:p w14:paraId="7E418C94">
      <w:pPr>
        <w:ind w:left="56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sz w:val="20"/>
        </w:rPr>
        <w:t>• 数据库自动化校验与 CI 深度集成。编写自动化脚本定期对比 AGENTS.md 中的统计表与数据库实际行数/列填充率，将 subcellspace db validate 加入 CI 管道的 test job，防止 Schema 漂移和数据损坏复发。考虑添加 URL 可达性校验（HEAD 请求检测 project_url 和 download_url 是否仍然有效）。</w:t>
      </w:r>
    </w:p>
    <w:p w14:paraId="1FAA4933">
      <w:pPr>
        <w:ind w:left="56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sz w:val="20"/>
        </w:rPr>
        <w:t>• MERFISH 平台数据扩展。目前 MERFISH 仅有 18 条标准数据集，远少于 CosMx（1,069条）和 Xenium（350条），平台覆盖严重不均衡。计划从 GEO 和 Vizgen 公开数据中系统性搜集更多 MERFISH 数据集进行补录，目标扩展至 50-100 条。</w:t>
      </w:r>
    </w:p>
    <w:p w14:paraId="45863103">
      <w:pPr>
        <w:ind w:left="56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sz w:val="20"/>
        </w:rPr>
        <w:t>• Docker 部署环境搭建。开始编写 Dockerfile 和 docker-compose.yml，将 SubCellSpace 的完整运行环境（Python 依赖 + Julia + Baysor + R 工具 + 第三方后端）封装为标准容器镜像，实现一键部署。这将解决当前环境依赖复杂、跨平台安装困难的问题。</w:t>
      </w:r>
    </w:p>
    <w:p w14:paraId="6A7A068A">
      <w:pPr>
        <w:ind w:left="56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sz w:val="20"/>
        </w:rPr>
        <w:t>• 方法学论文大纲起草。基于当前数据库（1,437 条记录、3 平台、257 项目）和 9 步 28 后端分析管线的成果，开始撰写方法学论文的初稿大纲，重点突出：(1) 统一元数据 Schema 的设计理念；(2) 插件式管线架构的灵活性；(3) 多平台数据整合的方法和挑战。</w:t>
      </w:r>
    </w:p>
    <w:p w14:paraId="336031E5">
      <w:pPr>
        <w:ind w:left="56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sz w:val="20"/>
        </w:rPr>
        <w:t>• Stereo-seq 平台端到端验证。虽然 Stereo-seq 的 IO 摄入层已实现，但尚缺乏完整的 CI smoke test。计划补充 Stereo-seq 测试数据的端到端管线运行验证，确保四平台覆盖的完整性。</w:t>
      </w:r>
    </w:p>
    <w:p w14:paraId="1F4DC757">
      <w:pPr>
        <w:rPr>
          <w:rFonts w:hint="default" w:ascii="Times New Roman" w:hAnsi="Times New Roman" w:cs="Times New Roman"/>
        </w:rPr>
      </w:pPr>
    </w:p>
    <w:p w14:paraId="00486A5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sz w:val="22"/>
        </w:rPr>
        <w:t>所在实验室：杨雪瑞实验室　　　　　导师签字：</w:t>
      </w:r>
    </w:p>
    <w:p w14:paraId="7CED6C01">
      <w:pPr>
        <w:rPr>
          <w:rFonts w:hint="default" w:ascii="Times New Roman" w:hAnsi="Times New Roman" w:cs="Times New Roman"/>
        </w:rPr>
      </w:pPr>
    </w:p>
    <w:p w14:paraId="78F8DF1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808080"/>
          <w:sz w:val="18"/>
        </w:rPr>
        <w:t>注：月度报告的书写需用科学的、书面的文字。戒口语化、戒不严谨。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18DC"/>
    <w:rsid w:val="002303C6"/>
    <w:rsid w:val="002C0A6C"/>
    <w:rsid w:val="003233E7"/>
    <w:rsid w:val="00384B9C"/>
    <w:rsid w:val="006C11FE"/>
    <w:rsid w:val="00A61F6F"/>
    <w:rsid w:val="00AA18DC"/>
    <w:rsid w:val="00B25B96"/>
    <w:rsid w:val="00BC5DB9"/>
    <w:rsid w:val="00BF61EE"/>
    <w:rsid w:val="00EC60EB"/>
    <w:rsid w:val="5182732B"/>
    <w:rsid w:val="567E37D1"/>
    <w:rsid w:val="69425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2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6"/>
    <w:semiHidden/>
    <w:unhideWhenUsed/>
    <w:uiPriority w:val="99"/>
    <w:pPr>
      <w:ind w:left="100" w:leftChars="2500"/>
    </w:pPr>
  </w:style>
  <w:style w:type="table" w:styleId="4">
    <w:name w:val="Table Grid"/>
    <w:basedOn w:val="3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">
    <w:name w:val="日期 字符"/>
    <w:basedOn w:val="5"/>
    <w:link w:val="2"/>
    <w:semiHidden/>
    <w:uiPriority w:val="99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tsinghua</Company>
  <Pages>7</Pages>
  <Words>259</Words>
  <Characters>456</Characters>
  <Lines>3</Lines>
  <Paragraphs>1</Paragraphs>
  <TotalTime>0</TotalTime>
  <ScaleCrop>false</ScaleCrop>
  <LinksUpToDate>false</LinksUpToDate>
  <CharactersWithSpaces>485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2024-09-13T08:34:00Z</dcterms:created>
  <dc:creator>SkyUN.Org</dc:creator>
  <cp:lastModifiedBy>李哲夫</cp:lastModifiedBy>
  <dcterms:modified xsi:type="dcterms:W3CDTF">2026-05-14T08:44:54Z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eyJoZGlkIjoiZThhMGM4NjQ2ODE4Yzc5N2IyNmIxMjUwZGMzNmI0NTQiLCJ1c2VySWQiOiI0MTg4NDc3NjcifQ==</vt:lpwstr>
  </property>
  <property fmtid="{D5CDD505-2E9C-101B-9397-08002B2CF9AE}" pid="3" name="KSOProductBuildVer">
    <vt:lpwstr>2052-12.1.0.26375</vt:lpwstr>
  </property>
  <property fmtid="{D5CDD505-2E9C-101B-9397-08002B2CF9AE}" pid="4" name="ICV">
    <vt:lpwstr>3C8F62C47E4D46E9AE43BFEA06C53110_12</vt:lpwstr>
  </property>
</Properties>
</file>