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科研训练月度报告</w:t>
      </w:r>
    </w:p>
    <w:p>
      <w:pPr>
        <w:jc w:val="center"/>
      </w:pPr>
      <w:r>
        <w:rPr>
          <w:color w:val="888888"/>
          <w:sz w:val="22"/>
        </w:rPr>
        <w:t>(第6份)</w:t>
      </w:r>
    </w:p>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sz w:val="19"/>
              </w:rPr>
              <w:t>姓名 / 学号</w:t>
            </w:r>
          </w:p>
        </w:tc>
        <w:tc>
          <w:tcPr>
            <w:tcW w:type="dxa" w:w="2160"/>
          </w:tcPr>
          <w:p>
            <w:r>
              <w:rPr>
                <w:sz w:val="19"/>
              </w:rPr>
              <w:t>李哲夫 / 2023011400</w:t>
            </w:r>
          </w:p>
        </w:tc>
        <w:tc>
          <w:tcPr>
            <w:tcW w:type="dxa" w:w="2160"/>
          </w:tcPr>
          <w:p>
            <w:r>
              <w:rPr>
                <w:sz w:val="19"/>
              </w:rPr>
              <w:t>班级</w:t>
            </w:r>
          </w:p>
        </w:tc>
        <w:tc>
          <w:tcPr>
            <w:tcW w:type="dxa" w:w="2160"/>
          </w:tcPr>
          <w:p>
            <w:r>
              <w:rPr>
                <w:sz w:val="19"/>
              </w:rPr>
              <w:t>生32</w:t>
            </w:r>
          </w:p>
        </w:tc>
      </w:tr>
      <w:tr>
        <w:tc>
          <w:tcPr>
            <w:tcW w:type="dxa" w:w="2160"/>
          </w:tcPr>
          <w:p>
            <w:r>
              <w:rPr>
                <w:b/>
                <w:sz w:val="19"/>
              </w:rPr>
              <w:t>课题名称</w:t>
            </w:r>
          </w:p>
        </w:tc>
        <w:tc>
          <w:tcPr>
            <w:tcW w:type="dxa" w:w="2160"/>
          </w:tcPr>
          <w:p>
            <w:r>
              <w:rPr>
                <w:sz w:val="19"/>
              </w:rPr>
              <w:t>亚细胞水平空间转录组共定位关系检测与数据预处理方法开发</w:t>
            </w:r>
          </w:p>
        </w:tc>
        <w:tc>
          <w:tcPr>
            <w:tcW w:type="dxa" w:w="2160"/>
          </w:tcPr>
          <w:p>
            <w:r>
              <w:rPr>
                <w:sz w:val="19"/>
              </w:rPr>
            </w:r>
          </w:p>
        </w:tc>
        <w:tc>
          <w:tcPr>
            <w:tcW w:type="dxa" w:w="2160"/>
          </w:tcPr>
          <w:p>
            <w:r>
              <w:rPr>
                <w:sz w:val="19"/>
              </w:rPr>
            </w:r>
          </w:p>
        </w:tc>
      </w:tr>
      <w:tr>
        <w:tc>
          <w:tcPr>
            <w:tcW w:type="dxa" w:w="2160"/>
          </w:tcPr>
          <w:p>
            <w:r>
              <w:rPr>
                <w:b/>
                <w:sz w:val="19"/>
              </w:rPr>
              <w:t>工作日期</w:t>
            </w:r>
          </w:p>
        </w:tc>
        <w:tc>
          <w:tcPr>
            <w:tcW w:type="dxa" w:w="2160"/>
          </w:tcPr>
          <w:p>
            <w:r>
              <w:rPr>
                <w:sz w:val="19"/>
              </w:rPr>
              <w:t>2026.03.21 – 2026.04.17</w:t>
            </w:r>
          </w:p>
        </w:tc>
        <w:tc>
          <w:tcPr>
            <w:tcW w:type="dxa" w:w="2160"/>
          </w:tcPr>
          <w:p>
            <w:r>
              <w:rPr>
                <w:sz w:val="19"/>
              </w:rPr>
              <w:t>周均工时</w:t>
            </w:r>
          </w:p>
        </w:tc>
        <w:tc>
          <w:tcPr>
            <w:tcW w:type="dxa" w:w="2160"/>
          </w:tcPr>
          <w:p>
            <w:r>
              <w:rPr>
                <w:sz w:val="19"/>
              </w:rPr>
              <w:t>20 小时</w:t>
            </w:r>
          </w:p>
        </w:tc>
      </w:tr>
      <w:tr>
        <w:tc>
          <w:tcPr>
            <w:tcW w:type="dxa" w:w="2160"/>
          </w:tcPr>
          <w:p>
            <w:r>
              <w:rPr>
                <w:b/>
                <w:sz w:val="19"/>
              </w:rPr>
              <w:t>所在实验室</w:t>
            </w:r>
          </w:p>
        </w:tc>
        <w:tc>
          <w:tcPr>
            <w:tcW w:type="dxa" w:w="2160"/>
          </w:tcPr>
          <w:p>
            <w:r>
              <w:rPr>
                <w:sz w:val="19"/>
              </w:rPr>
              <w:t>杨雪瑞实验室</w:t>
            </w:r>
          </w:p>
        </w:tc>
        <w:tc>
          <w:tcPr>
            <w:tcW w:type="dxa" w:w="2160"/>
          </w:tcPr>
          <w:p>
            <w:r>
              <w:rPr>
                <w:sz w:val="19"/>
              </w:rPr>
              <w:t>导师</w:t>
            </w:r>
          </w:p>
        </w:tc>
        <w:tc>
          <w:tcPr>
            <w:tcW w:type="dxa" w:w="2160"/>
          </w:tcPr>
          <w:p>
            <w:r>
              <w:rPr>
                <w:sz w:val="19"/>
              </w:rPr>
            </w:r>
          </w:p>
        </w:tc>
      </w:tr>
    </w:tbl>
    <w:p>
      <w:r>
        <w:br w:type="page"/>
      </w:r>
    </w:p>
    <w:p>
      <w:pPr>
        <w:pStyle w:val="Heading1"/>
      </w:pPr>
      <w:r>
        <w:rPr>
          <w:color w:val="1A1A2E"/>
        </w:rPr>
        <w:t>一、本月工作计划</w:t>
      </w:r>
    </w:p>
    <w:p>
      <w:r>
        <w:rPr>
          <w:b w:val="0"/>
          <w:i w:val="0"/>
          <w:sz w:val="21"/>
        </w:rPr>
        <w:t>本月核心目标为搭建并稳定运行 PubMed Spatial Tracker 文献管理平台，同时以文献研读为主线建立对空间转录组学领域的系统性认知。</w:t>
      </w:r>
    </w:p>
    <w:p>
      <w:r>
        <w:rPr>
          <w:b/>
          <w:i w:val="0"/>
          <w:sz w:val="21"/>
        </w:rPr>
        <w:t>双线推进策略：</w:t>
      </w:r>
    </w:p>
    <w:p>
      <w:pPr>
        <w:pStyle w:val="ListBullet"/>
      </w:pPr>
      <w:r>
        <w:t>平台建设线：完成文献检索入库→规则初分类→人工标注→PDF归档→模型重训→不确定性排序的全链路闭环。</w:t>
      </w:r>
    </w:p>
    <w:p>
      <w:pPr>
        <w:pStyle w:val="ListBullet"/>
      </w:pPr>
      <w:r>
        <w:t>文献研读线：投入主要时间阅读空间转录组学各子方向的关键文献，梳理技术路线、分析方法与生物问题的对应关系。</w:t>
      </w:r>
    </w:p>
    <w:p/>
    <w:p>
      <w:pPr>
        <w:pStyle w:val="Heading1"/>
      </w:pPr>
      <w:r>
        <w:rPr>
          <w:color w:val="1A1A2E"/>
        </w:rPr>
        <w:t>二、本月实验完成情况</w:t>
      </w:r>
    </w:p>
    <w:p>
      <w:pPr>
        <w:pStyle w:val="Heading2"/>
      </w:pPr>
      <w:r>
        <w:rPr>
          <w:color w:val="1A1A2E"/>
        </w:rPr>
        <w:t>2.1 数据与平台建设进展</w:t>
      </w:r>
    </w:p>
    <w:p>
      <w:r>
        <w:rPr>
          <w:b w:val="0"/>
          <w:i w:val="0"/>
          <w:sz w:val="21"/>
        </w:rPr>
        <w:t>截至 2026 年 4 月 17 日，平台已积累并结构化存储文献 7,029 篇，包含 22 个字段（PMID、标题、摘要、DOI、期刊、年份、类别、标签、人工确认状态、PDF 路径、MeSH 词表、引用次数等）。</w:t>
      </w:r>
    </w:p>
    <w:p>
      <w:r>
        <w:rPr>
          <w:b/>
          <w:i w:val="0"/>
          <w:sz w:val="21"/>
        </w:rPr>
        <w:t>核心量化指标：</w:t>
      </w:r>
    </w:p>
    <w:tbl>
      <w:tblPr>
        <w:tblStyle w:val="LightGrid-Accent1"/>
        <w:tblW w:type="auto" w:w="0"/>
        <w:jc w:val="center"/>
        <w:tblLook w:firstColumn="1" w:firstRow="1" w:lastColumn="0" w:lastRow="0" w:noHBand="0" w:noVBand="1" w:val="04A0"/>
      </w:tblPr>
      <w:tblGrid>
        <w:gridCol w:w="4320"/>
        <w:gridCol w:w="4320"/>
      </w:tblGrid>
      <w:tr>
        <w:tc>
          <w:tcPr>
            <w:tcW w:type="dxa" w:w="3969"/>
          </w:tcPr>
          <w:p>
            <w:pPr>
              <w:jc w:val="center"/>
            </w:pPr>
            <w:r>
              <w:rPr>
                <w:b/>
                <w:sz w:val="18"/>
              </w:rPr>
              <w:t>指标</w:t>
            </w:r>
          </w:p>
        </w:tc>
        <w:tc>
          <w:tcPr>
            <w:tcW w:type="dxa" w:w="3969"/>
          </w:tcPr>
          <w:p>
            <w:pPr>
              <w:jc w:val="center"/>
            </w:pPr>
            <w:r>
              <w:rPr>
                <w:b/>
                <w:sz w:val="18"/>
              </w:rPr>
              <w:t>数值</w:t>
            </w:r>
          </w:p>
        </w:tc>
      </w:tr>
      <w:tr>
        <w:tc>
          <w:tcPr>
            <w:tcW w:type="dxa" w:w="3969"/>
          </w:tcPr>
          <w:p>
            <w:pPr>
              <w:jc w:val="center"/>
            </w:pPr>
            <w:r>
              <w:rPr>
                <w:sz w:val="18"/>
              </w:rPr>
              <w:t>文献总量</w:t>
            </w:r>
          </w:p>
        </w:tc>
        <w:tc>
          <w:tcPr>
            <w:tcW w:type="dxa" w:w="3969"/>
          </w:tcPr>
          <w:p>
            <w:pPr>
              <w:jc w:val="center"/>
            </w:pPr>
            <w:r>
              <w:rPr>
                <w:sz w:val="18"/>
              </w:rPr>
              <w:t>7,029</w:t>
            </w:r>
          </w:p>
        </w:tc>
      </w:tr>
      <w:tr>
        <w:tc>
          <w:tcPr>
            <w:tcW w:type="dxa" w:w="3969"/>
          </w:tcPr>
          <w:p>
            <w:pPr>
              <w:jc w:val="center"/>
            </w:pPr>
            <w:r>
              <w:rPr>
                <w:sz w:val="18"/>
              </w:rPr>
              <w:t>人工确认样本</w:t>
            </w:r>
          </w:p>
        </w:tc>
        <w:tc>
          <w:tcPr>
            <w:tcW w:type="dxa" w:w="3969"/>
          </w:tcPr>
          <w:p>
            <w:pPr>
              <w:jc w:val="center"/>
            </w:pPr>
            <w:r>
              <w:rPr>
                <w:sz w:val="18"/>
              </w:rPr>
              <w:t>481</w:t>
            </w:r>
          </w:p>
        </w:tc>
      </w:tr>
      <w:tr>
        <w:tc>
          <w:tcPr>
            <w:tcW w:type="dxa" w:w="3969"/>
          </w:tcPr>
          <w:p>
            <w:pPr>
              <w:jc w:val="center"/>
            </w:pPr>
            <w:r>
              <w:rPr>
                <w:sz w:val="18"/>
              </w:rPr>
              <w:t>人工确认率</w:t>
            </w:r>
          </w:p>
        </w:tc>
        <w:tc>
          <w:tcPr>
            <w:tcW w:type="dxa" w:w="3969"/>
          </w:tcPr>
          <w:p>
            <w:pPr>
              <w:jc w:val="center"/>
            </w:pPr>
            <w:r>
              <w:rPr>
                <w:sz w:val="18"/>
              </w:rPr>
              <w:t>6.8%</w:t>
            </w:r>
          </w:p>
        </w:tc>
      </w:tr>
      <w:tr>
        <w:tc>
          <w:tcPr>
            <w:tcW w:type="dxa" w:w="3969"/>
          </w:tcPr>
          <w:p>
            <w:pPr>
              <w:jc w:val="center"/>
            </w:pPr>
            <w:r>
              <w:rPr>
                <w:sz w:val="18"/>
              </w:rPr>
              <w:t>有效年份覆盖</w:t>
            </w:r>
          </w:p>
        </w:tc>
        <w:tc>
          <w:tcPr>
            <w:tcW w:type="dxa" w:w="3969"/>
          </w:tcPr>
          <w:p>
            <w:pPr>
              <w:jc w:val="center"/>
            </w:pPr>
            <w:r>
              <w:rPr>
                <w:sz w:val="18"/>
              </w:rPr>
              <w:t>2010–2026 (7,029 条有年份记录)</w:t>
            </w:r>
          </w:p>
        </w:tc>
      </w:tr>
      <w:tr>
        <w:tc>
          <w:tcPr>
            <w:tcW w:type="dxa" w:w="3969"/>
          </w:tcPr>
          <w:p>
            <w:pPr>
              <w:jc w:val="center"/>
            </w:pPr>
            <w:r>
              <w:rPr>
                <w:sz w:val="18"/>
              </w:rPr>
              <w:t>预印本数量</w:t>
            </w:r>
          </w:p>
        </w:tc>
        <w:tc>
          <w:tcPr>
            <w:tcW w:type="dxa" w:w="3969"/>
          </w:tcPr>
          <w:p>
            <w:pPr>
              <w:jc w:val="center"/>
            </w:pPr>
            <w:r>
              <w:rPr>
                <w:sz w:val="18"/>
              </w:rPr>
              <w:t>671</w:t>
            </w:r>
          </w:p>
        </w:tc>
      </w:tr>
      <w:tr>
        <w:tc>
          <w:tcPr>
            <w:tcW w:type="dxa" w:w="3969"/>
          </w:tcPr>
          <w:p>
            <w:pPr>
              <w:jc w:val="center"/>
            </w:pPr>
            <w:r>
              <w:rPr>
                <w:sz w:val="18"/>
              </w:rPr>
              <w:t>Discarded 样本</w:t>
            </w:r>
          </w:p>
        </w:tc>
        <w:tc>
          <w:tcPr>
            <w:tcW w:type="dxa" w:w="3969"/>
          </w:tcPr>
          <w:p>
            <w:pPr>
              <w:jc w:val="center"/>
            </w:pPr>
            <w:r>
              <w:rPr>
                <w:sz w:val="18"/>
              </w:rPr>
              <w:t>413</w:t>
            </w:r>
          </w:p>
        </w:tc>
      </w:tr>
      <w:tr>
        <w:tc>
          <w:tcPr>
            <w:tcW w:type="dxa" w:w="3969"/>
          </w:tcPr>
          <w:p>
            <w:pPr>
              <w:jc w:val="center"/>
            </w:pPr>
            <w:r>
              <w:rPr>
                <w:sz w:val="18"/>
              </w:rPr>
              <w:t>平均不确定性分数</w:t>
            </w:r>
          </w:p>
        </w:tc>
        <w:tc>
          <w:tcPr>
            <w:tcW w:type="dxa" w:w="3969"/>
          </w:tcPr>
          <w:p>
            <w:pPr>
              <w:jc w:val="center"/>
            </w:pPr>
            <w:r>
              <w:rPr>
                <w:sz w:val="18"/>
              </w:rPr>
              <w:t>0.389</w:t>
            </w:r>
          </w:p>
        </w:tc>
      </w:tr>
    </w:tbl>
    <w:p/>
    <w:p>
      <w:r>
        <w:rPr>
          <w:b/>
          <w:i w:val="0"/>
          <w:sz w:val="21"/>
        </w:rPr>
        <w:t>类别分布：</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tcPr>
          <w:p>
            <w:pPr>
              <w:jc w:val="center"/>
            </w:pPr>
            <w:r>
              <w:rPr>
                <w:b/>
                <w:sz w:val="18"/>
              </w:rPr>
              <w:t>类别 (Category)</w:t>
            </w:r>
          </w:p>
        </w:tc>
        <w:tc>
          <w:tcPr>
            <w:tcW w:type="dxa" w:w="1701"/>
          </w:tcPr>
          <w:p>
            <w:pPr>
              <w:jc w:val="center"/>
            </w:pPr>
            <w:r>
              <w:rPr>
                <w:b/>
                <w:sz w:val="18"/>
              </w:rPr>
              <w:t>数量</w:t>
            </w:r>
          </w:p>
        </w:tc>
        <w:tc>
          <w:tcPr>
            <w:tcW w:type="dxa" w:w="1701"/>
          </w:tcPr>
          <w:p>
            <w:pPr>
              <w:jc w:val="center"/>
            </w:pPr>
            <w:r>
              <w:rPr>
                <w:b/>
                <w:sz w:val="18"/>
              </w:rPr>
              <w:t>占比</w:t>
            </w:r>
          </w:p>
        </w:tc>
      </w:tr>
      <w:tr>
        <w:tc>
          <w:tcPr>
            <w:tcW w:type="dxa" w:w="2835"/>
          </w:tcPr>
          <w:p>
            <w:pPr>
              <w:jc w:val="center"/>
            </w:pPr>
            <w:r>
              <w:rPr>
                <w:sz w:val="18"/>
              </w:rPr>
              <w:t>Research</w:t>
            </w:r>
          </w:p>
        </w:tc>
        <w:tc>
          <w:tcPr>
            <w:tcW w:type="dxa" w:w="1701"/>
          </w:tcPr>
          <w:p>
            <w:pPr>
              <w:jc w:val="center"/>
            </w:pPr>
            <w:r>
              <w:rPr>
                <w:sz w:val="18"/>
              </w:rPr>
              <w:t>3,827</w:t>
            </w:r>
          </w:p>
        </w:tc>
        <w:tc>
          <w:tcPr>
            <w:tcW w:type="dxa" w:w="1701"/>
          </w:tcPr>
          <w:p>
            <w:pPr>
              <w:jc w:val="center"/>
            </w:pPr>
            <w:r>
              <w:rPr>
                <w:sz w:val="18"/>
              </w:rPr>
              <w:t>54.4%</w:t>
            </w:r>
          </w:p>
        </w:tc>
      </w:tr>
      <w:tr>
        <w:tc>
          <w:tcPr>
            <w:tcW w:type="dxa" w:w="2835"/>
          </w:tcPr>
          <w:p>
            <w:pPr>
              <w:jc w:val="center"/>
            </w:pPr>
            <w:r>
              <w:rPr>
                <w:sz w:val="18"/>
              </w:rPr>
              <w:t>Data Analysis</w:t>
            </w:r>
          </w:p>
        </w:tc>
        <w:tc>
          <w:tcPr>
            <w:tcW w:type="dxa" w:w="1701"/>
          </w:tcPr>
          <w:p>
            <w:pPr>
              <w:jc w:val="center"/>
            </w:pPr>
            <w:r>
              <w:rPr>
                <w:sz w:val="18"/>
              </w:rPr>
              <w:t>1,635</w:t>
            </w:r>
          </w:p>
        </w:tc>
        <w:tc>
          <w:tcPr>
            <w:tcW w:type="dxa" w:w="1701"/>
          </w:tcPr>
          <w:p>
            <w:pPr>
              <w:jc w:val="center"/>
            </w:pPr>
            <w:r>
              <w:rPr>
                <w:sz w:val="18"/>
              </w:rPr>
              <w:t>23.3%</w:t>
            </w:r>
          </w:p>
        </w:tc>
      </w:tr>
      <w:tr>
        <w:tc>
          <w:tcPr>
            <w:tcW w:type="dxa" w:w="2835"/>
          </w:tcPr>
          <w:p>
            <w:pPr>
              <w:jc w:val="center"/>
            </w:pPr>
            <w:r>
              <w:rPr>
                <w:sz w:val="18"/>
              </w:rPr>
              <w:t>Review</w:t>
            </w:r>
          </w:p>
        </w:tc>
        <w:tc>
          <w:tcPr>
            <w:tcW w:type="dxa" w:w="1701"/>
          </w:tcPr>
          <w:p>
            <w:pPr>
              <w:jc w:val="center"/>
            </w:pPr>
            <w:r>
              <w:rPr>
                <w:sz w:val="18"/>
              </w:rPr>
              <w:t>1,266</w:t>
            </w:r>
          </w:p>
        </w:tc>
        <w:tc>
          <w:tcPr>
            <w:tcW w:type="dxa" w:w="1701"/>
          </w:tcPr>
          <w:p>
            <w:pPr>
              <w:jc w:val="center"/>
            </w:pPr>
            <w:r>
              <w:rPr>
                <w:sz w:val="18"/>
              </w:rPr>
              <w:t>18.0%</w:t>
            </w:r>
          </w:p>
        </w:tc>
      </w:tr>
      <w:tr>
        <w:tc>
          <w:tcPr>
            <w:tcW w:type="dxa" w:w="2835"/>
          </w:tcPr>
          <w:p>
            <w:pPr>
              <w:jc w:val="center"/>
            </w:pPr>
            <w:r>
              <w:rPr>
                <w:sz w:val="18"/>
              </w:rPr>
              <w:t>Technology</w:t>
            </w:r>
          </w:p>
        </w:tc>
        <w:tc>
          <w:tcPr>
            <w:tcW w:type="dxa" w:w="1701"/>
          </w:tcPr>
          <w:p>
            <w:pPr>
              <w:jc w:val="center"/>
            </w:pPr>
            <w:r>
              <w:rPr>
                <w:sz w:val="18"/>
              </w:rPr>
              <w:t>265</w:t>
            </w:r>
          </w:p>
        </w:tc>
        <w:tc>
          <w:tcPr>
            <w:tcW w:type="dxa" w:w="1701"/>
          </w:tcPr>
          <w:p>
            <w:pPr>
              <w:jc w:val="center"/>
            </w:pPr>
            <w:r>
              <w:rPr>
                <w:sz w:val="18"/>
              </w:rPr>
              <w:t>3.8%</w:t>
            </w:r>
          </w:p>
        </w:tc>
      </w:tr>
      <w:tr>
        <w:tc>
          <w:tcPr>
            <w:tcW w:type="dxa" w:w="2835"/>
          </w:tcPr>
          <w:p>
            <w:pPr>
              <w:jc w:val="center"/>
            </w:pPr>
            <w:r>
              <w:rPr>
                <w:sz w:val="18"/>
              </w:rPr>
              <w:t>Database</w:t>
            </w:r>
          </w:p>
        </w:tc>
        <w:tc>
          <w:tcPr>
            <w:tcW w:type="dxa" w:w="1701"/>
          </w:tcPr>
          <w:p>
            <w:pPr>
              <w:jc w:val="center"/>
            </w:pPr>
            <w:r>
              <w:rPr>
                <w:sz w:val="18"/>
              </w:rPr>
              <w:t>34</w:t>
            </w:r>
          </w:p>
        </w:tc>
        <w:tc>
          <w:tcPr>
            <w:tcW w:type="dxa" w:w="1701"/>
          </w:tcPr>
          <w:p>
            <w:pPr>
              <w:jc w:val="center"/>
            </w:pPr>
            <w:r>
              <w:rPr>
                <w:sz w:val="18"/>
              </w:rPr>
              <w:t>0.5%</w:t>
            </w:r>
          </w:p>
        </w:tc>
      </w:tr>
      <w:tr>
        <w:tc>
          <w:tcPr>
            <w:tcW w:type="dxa" w:w="2835"/>
          </w:tcPr>
          <w:p>
            <w:pPr>
              <w:jc w:val="center"/>
            </w:pPr>
            <w:r>
              <w:rPr>
                <w:sz w:val="18"/>
              </w:rPr>
              <w:t>Discard</w:t>
            </w:r>
          </w:p>
        </w:tc>
        <w:tc>
          <w:tcPr>
            <w:tcW w:type="dxa" w:w="1701"/>
          </w:tcPr>
          <w:p>
            <w:pPr>
              <w:jc w:val="center"/>
            </w:pPr>
            <w:r>
              <w:rPr>
                <w:sz w:val="18"/>
              </w:rPr>
              <w:t>2</w:t>
            </w:r>
          </w:p>
        </w:tc>
        <w:tc>
          <w:tcPr>
            <w:tcW w:type="dxa" w:w="1701"/>
          </w:tcPr>
          <w:p>
            <w:pPr>
              <w:jc w:val="center"/>
            </w:pPr>
            <w:r>
              <w:rPr>
                <w:sz w:val="18"/>
              </w:rPr>
              <w:t>0.0%</w:t>
            </w:r>
          </w:p>
        </w:tc>
      </w:tr>
    </w:tbl>
    <w:p/>
    <w:p>
      <w:r>
        <w:rPr>
          <w:b/>
          <w:i w:val="0"/>
          <w:sz w:val="21"/>
        </w:rPr>
        <w:t>高频标签 (Top 20)：</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18"/>
              </w:rPr>
              <w:t>标签</w:t>
            </w:r>
          </w:p>
        </w:tc>
        <w:tc>
          <w:tcPr>
            <w:tcW w:type="dxa" w:w="2268"/>
          </w:tcPr>
          <w:p>
            <w:pPr>
              <w:jc w:val="center"/>
            </w:pPr>
            <w:r>
              <w:rPr>
                <w:b/>
                <w:sz w:val="18"/>
              </w:rPr>
              <w:t>频次</w:t>
            </w:r>
          </w:p>
        </w:tc>
      </w:tr>
      <w:tr>
        <w:tc>
          <w:tcPr>
            <w:tcW w:type="dxa" w:w="3402"/>
          </w:tcPr>
          <w:p>
            <w:pPr>
              <w:jc w:val="center"/>
            </w:pPr>
            <w:r>
              <w:rPr>
                <w:sz w:val="18"/>
              </w:rPr>
              <w:t>Visium</w:t>
            </w:r>
          </w:p>
        </w:tc>
        <w:tc>
          <w:tcPr>
            <w:tcW w:type="dxa" w:w="2268"/>
          </w:tcPr>
          <w:p>
            <w:pPr>
              <w:jc w:val="center"/>
            </w:pPr>
            <w:r>
              <w:rPr>
                <w:sz w:val="18"/>
              </w:rPr>
              <w:t>2,878</w:t>
            </w:r>
          </w:p>
        </w:tc>
      </w:tr>
      <w:tr>
        <w:tc>
          <w:tcPr>
            <w:tcW w:type="dxa" w:w="3402"/>
          </w:tcPr>
          <w:p>
            <w:pPr>
              <w:jc w:val="center"/>
            </w:pPr>
            <w:r>
              <w:rPr>
                <w:sz w:val="18"/>
              </w:rPr>
              <w:t>Cancer</w:t>
            </w:r>
          </w:p>
        </w:tc>
        <w:tc>
          <w:tcPr>
            <w:tcW w:type="dxa" w:w="2268"/>
          </w:tcPr>
          <w:p>
            <w:pPr>
              <w:jc w:val="center"/>
            </w:pPr>
            <w:r>
              <w:rPr>
                <w:sz w:val="18"/>
              </w:rPr>
              <w:t>2,821</w:t>
            </w:r>
          </w:p>
        </w:tc>
      </w:tr>
      <w:tr>
        <w:tc>
          <w:tcPr>
            <w:tcW w:type="dxa" w:w="3402"/>
          </w:tcPr>
          <w:p>
            <w:pPr>
              <w:jc w:val="center"/>
            </w:pPr>
            <w:r>
              <w:rPr>
                <w:sz w:val="18"/>
              </w:rPr>
              <w:t>Pathology</w:t>
            </w:r>
          </w:p>
        </w:tc>
        <w:tc>
          <w:tcPr>
            <w:tcW w:type="dxa" w:w="2268"/>
          </w:tcPr>
          <w:p>
            <w:pPr>
              <w:jc w:val="center"/>
            </w:pPr>
            <w:r>
              <w:rPr>
                <w:sz w:val="18"/>
              </w:rPr>
              <w:t>1,745</w:t>
            </w:r>
          </w:p>
        </w:tc>
      </w:tr>
      <w:tr>
        <w:tc>
          <w:tcPr>
            <w:tcW w:type="dxa" w:w="3402"/>
          </w:tcPr>
          <w:p>
            <w:pPr>
              <w:jc w:val="center"/>
            </w:pPr>
            <w:r>
              <w:rPr>
                <w:sz w:val="18"/>
              </w:rPr>
              <w:t>Clustering</w:t>
            </w:r>
          </w:p>
        </w:tc>
        <w:tc>
          <w:tcPr>
            <w:tcW w:type="dxa" w:w="2268"/>
          </w:tcPr>
          <w:p>
            <w:pPr>
              <w:jc w:val="center"/>
            </w:pPr>
            <w:r>
              <w:rPr>
                <w:sz w:val="18"/>
              </w:rPr>
              <w:t>1,185</w:t>
            </w:r>
          </w:p>
        </w:tc>
      </w:tr>
      <w:tr>
        <w:tc>
          <w:tcPr>
            <w:tcW w:type="dxa" w:w="3402"/>
          </w:tcPr>
          <w:p>
            <w:pPr>
              <w:jc w:val="center"/>
            </w:pPr>
            <w:r>
              <w:rPr>
                <w:sz w:val="18"/>
              </w:rPr>
              <w:t>Neuroscience</w:t>
            </w:r>
          </w:p>
        </w:tc>
        <w:tc>
          <w:tcPr>
            <w:tcW w:type="dxa" w:w="2268"/>
          </w:tcPr>
          <w:p>
            <w:pPr>
              <w:jc w:val="center"/>
            </w:pPr>
            <w:r>
              <w:rPr>
                <w:sz w:val="18"/>
              </w:rPr>
              <w:t>660</w:t>
            </w:r>
          </w:p>
        </w:tc>
      </w:tr>
      <w:tr>
        <w:tc>
          <w:tcPr>
            <w:tcW w:type="dxa" w:w="3402"/>
          </w:tcPr>
          <w:p>
            <w:pPr>
              <w:jc w:val="center"/>
            </w:pPr>
            <w:r>
              <w:rPr>
                <w:sz w:val="18"/>
              </w:rPr>
              <w:t>Domain Identification</w:t>
            </w:r>
          </w:p>
        </w:tc>
        <w:tc>
          <w:tcPr>
            <w:tcW w:type="dxa" w:w="2268"/>
          </w:tcPr>
          <w:p>
            <w:pPr>
              <w:jc w:val="center"/>
            </w:pPr>
            <w:r>
              <w:rPr>
                <w:sz w:val="18"/>
              </w:rPr>
              <w:t>481</w:t>
            </w:r>
          </w:p>
        </w:tc>
      </w:tr>
      <w:tr>
        <w:tc>
          <w:tcPr>
            <w:tcW w:type="dxa" w:w="3402"/>
          </w:tcPr>
          <w:p>
            <w:pPr>
              <w:jc w:val="center"/>
            </w:pPr>
            <w:r>
              <w:rPr>
                <w:sz w:val="18"/>
              </w:rPr>
              <w:t>Development</w:t>
            </w:r>
          </w:p>
        </w:tc>
        <w:tc>
          <w:tcPr>
            <w:tcW w:type="dxa" w:w="2268"/>
          </w:tcPr>
          <w:p>
            <w:pPr>
              <w:jc w:val="center"/>
            </w:pPr>
            <w:r>
              <w:rPr>
                <w:sz w:val="18"/>
              </w:rPr>
              <w:t>290</w:t>
            </w:r>
          </w:p>
        </w:tc>
      </w:tr>
      <w:tr>
        <w:tc>
          <w:tcPr>
            <w:tcW w:type="dxa" w:w="3402"/>
          </w:tcPr>
          <w:p>
            <w:pPr>
              <w:jc w:val="center"/>
            </w:pPr>
            <w:r>
              <w:rPr>
                <w:sz w:val="18"/>
              </w:rPr>
              <w:t>Gene Expression Prediction</w:t>
            </w:r>
          </w:p>
        </w:tc>
        <w:tc>
          <w:tcPr>
            <w:tcW w:type="dxa" w:w="2268"/>
          </w:tcPr>
          <w:p>
            <w:pPr>
              <w:jc w:val="center"/>
            </w:pPr>
            <w:r>
              <w:rPr>
                <w:sz w:val="18"/>
              </w:rPr>
              <w:t>186</w:t>
            </w:r>
          </w:p>
        </w:tc>
      </w:tr>
      <w:tr>
        <w:tc>
          <w:tcPr>
            <w:tcW w:type="dxa" w:w="3402"/>
          </w:tcPr>
          <w:p>
            <w:pPr>
              <w:jc w:val="center"/>
            </w:pPr>
            <w:r>
              <w:rPr>
                <w:sz w:val="18"/>
              </w:rPr>
              <w:t>Deconvolution</w:t>
            </w:r>
          </w:p>
        </w:tc>
        <w:tc>
          <w:tcPr>
            <w:tcW w:type="dxa" w:w="2268"/>
          </w:tcPr>
          <w:p>
            <w:pPr>
              <w:jc w:val="center"/>
            </w:pPr>
            <w:r>
              <w:rPr>
                <w:sz w:val="18"/>
              </w:rPr>
              <w:t>168</w:t>
            </w:r>
          </w:p>
        </w:tc>
      </w:tr>
      <w:tr>
        <w:tc>
          <w:tcPr>
            <w:tcW w:type="dxa" w:w="3402"/>
          </w:tcPr>
          <w:p>
            <w:pPr>
              <w:jc w:val="center"/>
            </w:pPr>
            <w:r>
              <w:rPr>
                <w:sz w:val="18"/>
              </w:rPr>
              <w:t>Immunology</w:t>
            </w:r>
          </w:p>
        </w:tc>
        <w:tc>
          <w:tcPr>
            <w:tcW w:type="dxa" w:w="2268"/>
          </w:tcPr>
          <w:p>
            <w:pPr>
              <w:jc w:val="center"/>
            </w:pPr>
            <w:r>
              <w:rPr>
                <w:sz w:val="18"/>
              </w:rPr>
              <w:t>149</w:t>
            </w:r>
          </w:p>
        </w:tc>
      </w:tr>
      <w:tr>
        <w:tc>
          <w:tcPr>
            <w:tcW w:type="dxa" w:w="3402"/>
          </w:tcPr>
          <w:p>
            <w:pPr>
              <w:jc w:val="center"/>
            </w:pPr>
            <w:r>
              <w:rPr>
                <w:sz w:val="18"/>
              </w:rPr>
              <w:t>Cell Communication</w:t>
            </w:r>
          </w:p>
        </w:tc>
        <w:tc>
          <w:tcPr>
            <w:tcW w:type="dxa" w:w="2268"/>
          </w:tcPr>
          <w:p>
            <w:pPr>
              <w:jc w:val="center"/>
            </w:pPr>
            <w:r>
              <w:rPr>
                <w:sz w:val="18"/>
              </w:rPr>
              <w:t>140</w:t>
            </w:r>
          </w:p>
        </w:tc>
      </w:tr>
      <w:tr>
        <w:tc>
          <w:tcPr>
            <w:tcW w:type="dxa" w:w="3402"/>
          </w:tcPr>
          <w:p>
            <w:pPr>
              <w:jc w:val="center"/>
            </w:pPr>
            <w:r>
              <w:rPr>
                <w:sz w:val="18"/>
              </w:rPr>
              <w:t>GeoMx</w:t>
            </w:r>
          </w:p>
        </w:tc>
        <w:tc>
          <w:tcPr>
            <w:tcW w:type="dxa" w:w="2268"/>
          </w:tcPr>
          <w:p>
            <w:pPr>
              <w:jc w:val="center"/>
            </w:pPr>
            <w:r>
              <w:rPr>
                <w:sz w:val="18"/>
              </w:rPr>
              <w:t>89</w:t>
            </w:r>
          </w:p>
        </w:tc>
      </w:tr>
      <w:tr>
        <w:tc>
          <w:tcPr>
            <w:tcW w:type="dxa" w:w="3402"/>
          </w:tcPr>
          <w:p>
            <w:pPr>
              <w:jc w:val="center"/>
            </w:pPr>
            <w:r>
              <w:rPr>
                <w:sz w:val="18"/>
              </w:rPr>
              <w:t>Multimodal integration</w:t>
            </w:r>
          </w:p>
        </w:tc>
        <w:tc>
          <w:tcPr>
            <w:tcW w:type="dxa" w:w="2268"/>
          </w:tcPr>
          <w:p>
            <w:pPr>
              <w:jc w:val="center"/>
            </w:pPr>
            <w:r>
              <w:rPr>
                <w:sz w:val="18"/>
              </w:rPr>
              <w:t>84</w:t>
            </w:r>
          </w:p>
        </w:tc>
      </w:tr>
      <w:tr>
        <w:tc>
          <w:tcPr>
            <w:tcW w:type="dxa" w:w="3402"/>
          </w:tcPr>
          <w:p>
            <w:pPr>
              <w:jc w:val="center"/>
            </w:pPr>
            <w:r>
              <w:rPr>
                <w:sz w:val="18"/>
              </w:rPr>
              <w:t>Cardiology</w:t>
            </w:r>
          </w:p>
        </w:tc>
        <w:tc>
          <w:tcPr>
            <w:tcW w:type="dxa" w:w="2268"/>
          </w:tcPr>
          <w:p>
            <w:pPr>
              <w:jc w:val="center"/>
            </w:pPr>
            <w:r>
              <w:rPr>
                <w:sz w:val="18"/>
              </w:rPr>
              <w:t>80</w:t>
            </w:r>
          </w:p>
        </w:tc>
      </w:tr>
      <w:tr>
        <w:tc>
          <w:tcPr>
            <w:tcW w:type="dxa" w:w="3402"/>
          </w:tcPr>
          <w:p>
            <w:pPr>
              <w:jc w:val="center"/>
            </w:pPr>
            <w:r>
              <w:rPr>
                <w:sz w:val="18"/>
              </w:rPr>
              <w:t>Reproduction</w:t>
            </w:r>
          </w:p>
        </w:tc>
        <w:tc>
          <w:tcPr>
            <w:tcW w:type="dxa" w:w="2268"/>
          </w:tcPr>
          <w:p>
            <w:pPr>
              <w:jc w:val="center"/>
            </w:pPr>
            <w:r>
              <w:rPr>
                <w:sz w:val="18"/>
              </w:rPr>
              <w:t>62</w:t>
            </w:r>
          </w:p>
        </w:tc>
      </w:tr>
      <w:tr>
        <w:tc>
          <w:tcPr>
            <w:tcW w:type="dxa" w:w="3402"/>
          </w:tcPr>
          <w:p>
            <w:pPr>
              <w:jc w:val="center"/>
            </w:pPr>
            <w:r>
              <w:rPr>
                <w:sz w:val="18"/>
              </w:rPr>
              <w:t>Segmentation</w:t>
            </w:r>
          </w:p>
        </w:tc>
        <w:tc>
          <w:tcPr>
            <w:tcW w:type="dxa" w:w="2268"/>
          </w:tcPr>
          <w:p>
            <w:pPr>
              <w:jc w:val="center"/>
            </w:pPr>
            <w:r>
              <w:rPr>
                <w:sz w:val="18"/>
              </w:rPr>
              <w:t>59</w:t>
            </w:r>
          </w:p>
        </w:tc>
      </w:tr>
      <w:tr>
        <w:tc>
          <w:tcPr>
            <w:tcW w:type="dxa" w:w="3402"/>
          </w:tcPr>
          <w:p>
            <w:pPr>
              <w:jc w:val="center"/>
            </w:pPr>
            <w:r>
              <w:rPr>
                <w:sz w:val="18"/>
              </w:rPr>
              <w:t>Benchmark</w:t>
            </w:r>
          </w:p>
        </w:tc>
        <w:tc>
          <w:tcPr>
            <w:tcW w:type="dxa" w:w="2268"/>
          </w:tcPr>
          <w:p>
            <w:pPr>
              <w:jc w:val="center"/>
            </w:pPr>
            <w:r>
              <w:rPr>
                <w:sz w:val="18"/>
              </w:rPr>
              <w:t>45</w:t>
            </w:r>
          </w:p>
        </w:tc>
      </w:tr>
      <w:tr>
        <w:tc>
          <w:tcPr>
            <w:tcW w:type="dxa" w:w="3402"/>
          </w:tcPr>
          <w:p>
            <w:pPr>
              <w:jc w:val="center"/>
            </w:pPr>
            <w:r>
              <w:rPr>
                <w:sz w:val="18"/>
              </w:rPr>
              <w:t>Technology</w:t>
            </w:r>
          </w:p>
        </w:tc>
        <w:tc>
          <w:tcPr>
            <w:tcW w:type="dxa" w:w="2268"/>
          </w:tcPr>
          <w:p>
            <w:pPr>
              <w:jc w:val="center"/>
            </w:pPr>
            <w:r>
              <w:rPr>
                <w:sz w:val="18"/>
              </w:rPr>
              <w:t>43</w:t>
            </w:r>
          </w:p>
        </w:tc>
      </w:tr>
      <w:tr>
        <w:tc>
          <w:tcPr>
            <w:tcW w:type="dxa" w:w="3402"/>
          </w:tcPr>
          <w:p>
            <w:pPr>
              <w:jc w:val="center"/>
            </w:pPr>
            <w:r>
              <w:rPr>
                <w:sz w:val="18"/>
              </w:rPr>
              <w:t>Imputation</w:t>
            </w:r>
          </w:p>
        </w:tc>
        <w:tc>
          <w:tcPr>
            <w:tcW w:type="dxa" w:w="2268"/>
          </w:tcPr>
          <w:p>
            <w:pPr>
              <w:jc w:val="center"/>
            </w:pPr>
            <w:r>
              <w:rPr>
                <w:sz w:val="18"/>
              </w:rPr>
              <w:t>33</w:t>
            </w:r>
          </w:p>
        </w:tc>
      </w:tr>
      <w:tr>
        <w:tc>
          <w:tcPr>
            <w:tcW w:type="dxa" w:w="3402"/>
          </w:tcPr>
          <w:p>
            <w:pPr>
              <w:jc w:val="center"/>
            </w:pPr>
            <w:r>
              <w:rPr>
                <w:sz w:val="18"/>
              </w:rPr>
              <w:t>Data Analysis</w:t>
            </w:r>
          </w:p>
        </w:tc>
        <w:tc>
          <w:tcPr>
            <w:tcW w:type="dxa" w:w="2268"/>
          </w:tcPr>
          <w:p>
            <w:pPr>
              <w:jc w:val="center"/>
            </w:pPr>
            <w:r>
              <w:rPr>
                <w:sz w:val="18"/>
              </w:rPr>
              <w:t>32</w:t>
            </w:r>
          </w:p>
        </w:tc>
      </w:tr>
    </w:tbl>
    <w:p/>
    <w:p>
      <w:r>
        <w:rPr>
          <w:b/>
          <w:i w:val="0"/>
          <w:sz w:val="21"/>
        </w:rPr>
        <w:t>主要来源期刊 (Top 10)：</w:t>
      </w:r>
    </w:p>
    <w:tbl>
      <w:tblPr>
        <w:tblStyle w:val="LightGrid-Accent1"/>
        <w:tblW w:type="auto" w:w="0"/>
        <w:jc w:val="center"/>
        <w:tblLook w:firstColumn="1" w:firstRow="1" w:lastColumn="0" w:lastRow="0" w:noHBand="0" w:noVBand="1" w:val="04A0"/>
      </w:tblPr>
      <w:tblGrid>
        <w:gridCol w:w="4320"/>
        <w:gridCol w:w="4320"/>
      </w:tblGrid>
      <w:tr>
        <w:tc>
          <w:tcPr>
            <w:tcW w:type="dxa" w:w="5102"/>
          </w:tcPr>
          <w:p>
            <w:pPr>
              <w:jc w:val="center"/>
            </w:pPr>
            <w:r>
              <w:rPr>
                <w:b/>
                <w:sz w:val="18"/>
              </w:rPr>
              <w:t>期刊</w:t>
            </w:r>
          </w:p>
        </w:tc>
        <w:tc>
          <w:tcPr>
            <w:tcW w:type="dxa" w:w="1701"/>
          </w:tcPr>
          <w:p>
            <w:pPr>
              <w:jc w:val="center"/>
            </w:pPr>
            <w:r>
              <w:rPr>
                <w:b/>
                <w:sz w:val="18"/>
              </w:rPr>
              <w:t>篇数</w:t>
            </w:r>
          </w:p>
        </w:tc>
      </w:tr>
      <w:tr>
        <w:tc>
          <w:tcPr>
            <w:tcW w:type="dxa" w:w="5102"/>
          </w:tcPr>
          <w:p>
            <w:pPr>
              <w:jc w:val="center"/>
            </w:pPr>
            <w:r>
              <w:rPr>
                <w:sz w:val="18"/>
              </w:rPr>
              <w:t>bioRxiv : the preprint server for biology</w:t>
            </w:r>
          </w:p>
        </w:tc>
        <w:tc>
          <w:tcPr>
            <w:tcW w:type="dxa" w:w="1701"/>
          </w:tcPr>
          <w:p>
            <w:pPr>
              <w:jc w:val="center"/>
            </w:pPr>
            <w:r>
              <w:rPr>
                <w:sz w:val="18"/>
              </w:rPr>
              <w:t>615</w:t>
            </w:r>
          </w:p>
        </w:tc>
      </w:tr>
      <w:tr>
        <w:tc>
          <w:tcPr>
            <w:tcW w:type="dxa" w:w="5102"/>
          </w:tcPr>
          <w:p>
            <w:pPr>
              <w:jc w:val="center"/>
            </w:pPr>
            <w:r>
              <w:rPr>
                <w:sz w:val="18"/>
              </w:rPr>
              <w:t>Nature communications</w:t>
            </w:r>
          </w:p>
        </w:tc>
        <w:tc>
          <w:tcPr>
            <w:tcW w:type="dxa" w:w="1701"/>
          </w:tcPr>
          <w:p>
            <w:pPr>
              <w:jc w:val="center"/>
            </w:pPr>
            <w:r>
              <w:rPr>
                <w:sz w:val="18"/>
              </w:rPr>
              <w:t>320</w:t>
            </w:r>
          </w:p>
        </w:tc>
      </w:tr>
      <w:tr>
        <w:tc>
          <w:tcPr>
            <w:tcW w:type="dxa" w:w="5102"/>
          </w:tcPr>
          <w:p>
            <w:pPr>
              <w:jc w:val="center"/>
            </w:pPr>
            <w:r>
              <w:rPr>
                <w:sz w:val="18"/>
              </w:rPr>
              <w:t>Frontiers in immunology</w:t>
            </w:r>
          </w:p>
        </w:tc>
        <w:tc>
          <w:tcPr>
            <w:tcW w:type="dxa" w:w="1701"/>
          </w:tcPr>
          <w:p>
            <w:pPr>
              <w:jc w:val="center"/>
            </w:pPr>
            <w:r>
              <w:rPr>
                <w:sz w:val="18"/>
              </w:rPr>
              <w:t>189</w:t>
            </w:r>
          </w:p>
        </w:tc>
      </w:tr>
      <w:tr>
        <w:tc>
          <w:tcPr>
            <w:tcW w:type="dxa" w:w="5102"/>
          </w:tcPr>
          <w:p>
            <w:pPr>
              <w:jc w:val="center"/>
            </w:pPr>
            <w:r>
              <w:rPr>
                <w:sz w:val="18"/>
              </w:rPr>
              <w:t>Briefings in bioinformatics</w:t>
            </w:r>
          </w:p>
        </w:tc>
        <w:tc>
          <w:tcPr>
            <w:tcW w:type="dxa" w:w="1701"/>
          </w:tcPr>
          <w:p>
            <w:pPr>
              <w:jc w:val="center"/>
            </w:pPr>
            <w:r>
              <w:rPr>
                <w:sz w:val="18"/>
              </w:rPr>
              <w:t>138</w:t>
            </w:r>
          </w:p>
        </w:tc>
      </w:tr>
      <w:tr>
        <w:tc>
          <w:tcPr>
            <w:tcW w:type="dxa" w:w="5102"/>
          </w:tcPr>
          <w:p>
            <w:pPr>
              <w:jc w:val="center"/>
            </w:pPr>
            <w:r>
              <w:rPr>
                <w:sz w:val="18"/>
              </w:rPr>
              <w:t>Bioinformatics (Oxford, England)</w:t>
            </w:r>
          </w:p>
        </w:tc>
        <w:tc>
          <w:tcPr>
            <w:tcW w:type="dxa" w:w="1701"/>
          </w:tcPr>
          <w:p>
            <w:pPr>
              <w:jc w:val="center"/>
            </w:pPr>
            <w:r>
              <w:rPr>
                <w:sz w:val="18"/>
              </w:rPr>
              <w:t>116</w:t>
            </w:r>
          </w:p>
        </w:tc>
      </w:tr>
      <w:tr>
        <w:tc>
          <w:tcPr>
            <w:tcW w:type="dxa" w:w="5102"/>
          </w:tcPr>
          <w:p>
            <w:pPr>
              <w:jc w:val="center"/>
            </w:pPr>
            <w:r>
              <w:rPr>
                <w:sz w:val="18"/>
              </w:rPr>
              <w:t>Advanced science (Weinheim, Baden-Wurttemberg, Germany)</w:t>
            </w:r>
          </w:p>
        </w:tc>
        <w:tc>
          <w:tcPr>
            <w:tcW w:type="dxa" w:w="1701"/>
          </w:tcPr>
          <w:p>
            <w:pPr>
              <w:jc w:val="center"/>
            </w:pPr>
            <w:r>
              <w:rPr>
                <w:sz w:val="18"/>
              </w:rPr>
              <w:t>105</w:t>
            </w:r>
          </w:p>
        </w:tc>
      </w:tr>
      <w:tr>
        <w:tc>
          <w:tcPr>
            <w:tcW w:type="dxa" w:w="5102"/>
          </w:tcPr>
          <w:p>
            <w:pPr>
              <w:jc w:val="center"/>
            </w:pPr>
            <w:r>
              <w:rPr>
                <w:sz w:val="18"/>
              </w:rPr>
              <w:t>Nature methods</w:t>
            </w:r>
          </w:p>
        </w:tc>
        <w:tc>
          <w:tcPr>
            <w:tcW w:type="dxa" w:w="1701"/>
          </w:tcPr>
          <w:p>
            <w:pPr>
              <w:jc w:val="center"/>
            </w:pPr>
            <w:r>
              <w:rPr>
                <w:sz w:val="18"/>
              </w:rPr>
              <w:t>104</w:t>
            </w:r>
          </w:p>
        </w:tc>
      </w:tr>
      <w:tr>
        <w:tc>
          <w:tcPr>
            <w:tcW w:type="dxa" w:w="5102"/>
          </w:tcPr>
          <w:p>
            <w:pPr>
              <w:jc w:val="center"/>
            </w:pPr>
            <w:r>
              <w:rPr>
                <w:sz w:val="18"/>
              </w:rPr>
              <w:t>Genome biology</w:t>
            </w:r>
          </w:p>
        </w:tc>
        <w:tc>
          <w:tcPr>
            <w:tcW w:type="dxa" w:w="1701"/>
          </w:tcPr>
          <w:p>
            <w:pPr>
              <w:jc w:val="center"/>
            </w:pPr>
            <w:r>
              <w:rPr>
                <w:sz w:val="18"/>
              </w:rPr>
              <w:t>104</w:t>
            </w:r>
          </w:p>
        </w:tc>
      </w:tr>
      <w:tr>
        <w:tc>
          <w:tcPr>
            <w:tcW w:type="dxa" w:w="5102"/>
          </w:tcPr>
          <w:p>
            <w:pPr>
              <w:jc w:val="center"/>
            </w:pPr>
            <w:r>
              <w:rPr>
                <w:sz w:val="18"/>
              </w:rPr>
              <w:t>Scientific reports</w:t>
            </w:r>
          </w:p>
        </w:tc>
        <w:tc>
          <w:tcPr>
            <w:tcW w:type="dxa" w:w="1701"/>
          </w:tcPr>
          <w:p>
            <w:pPr>
              <w:jc w:val="center"/>
            </w:pPr>
            <w:r>
              <w:rPr>
                <w:sz w:val="18"/>
              </w:rPr>
              <w:t>91</w:t>
            </w:r>
          </w:p>
        </w:tc>
      </w:tr>
      <w:tr>
        <w:tc>
          <w:tcPr>
            <w:tcW w:type="dxa" w:w="5102"/>
          </w:tcPr>
          <w:p>
            <w:pPr>
              <w:jc w:val="center"/>
            </w:pPr>
            <w:r>
              <w:rPr>
                <w:sz w:val="18"/>
              </w:rPr>
              <w:t>Journal of translational medicine</w:t>
            </w:r>
          </w:p>
        </w:tc>
        <w:tc>
          <w:tcPr>
            <w:tcW w:type="dxa" w:w="1701"/>
          </w:tcPr>
          <w:p>
            <w:pPr>
              <w:jc w:val="center"/>
            </w:pPr>
            <w:r>
              <w:rPr>
                <w:sz w:val="18"/>
              </w:rPr>
              <w:t>91</w:t>
            </w:r>
          </w:p>
        </w:tc>
      </w:tr>
    </w:tbl>
    <w:p>
      <w:r>
        <w:br w:type="page"/>
      </w:r>
    </w:p>
    <w:p>
      <w:pPr>
        <w:pStyle w:val="Heading2"/>
      </w:pPr>
      <w:r>
        <w:rPr>
          <w:color w:val="1A1A2E"/>
        </w:rPr>
        <w:t>2.2 可视化分析</w:t>
      </w:r>
    </w:p>
    <w:p>
      <w:pPr>
        <w:jc w:val="center"/>
      </w:pPr>
      <w:r>
        <w:drawing>
          <wp:inline xmlns:a="http://schemas.openxmlformats.org/drawingml/2006/main" xmlns:pic="http://schemas.openxmlformats.org/drawingml/2006/picture">
            <wp:extent cx="4754880" cy="2674620"/>
            <wp:docPr id="1" name="Picture 1"/>
            <wp:cNvGraphicFramePr>
              <a:graphicFrameLocks noChangeAspect="1"/>
            </wp:cNvGraphicFramePr>
            <a:graphic>
              <a:graphicData uri="http://schemas.openxmlformats.org/drawingml/2006/picture">
                <pic:pic>
                  <pic:nvPicPr>
                    <pic:cNvPr id="0" name="chart_yearly.png"/>
                    <pic:cNvPicPr/>
                  </pic:nvPicPr>
                  <pic:blipFill>
                    <a:blip r:embed="rId9"/>
                    <a:stretch>
                      <a:fillRect/>
                    </a:stretch>
                  </pic:blipFill>
                  <pic:spPr>
                    <a:xfrm>
                      <a:off x="0" y="0"/>
                      <a:ext cx="4754880" cy="2674620"/>
                    </a:xfrm>
                    <a:prstGeom prst="rect"/>
                  </pic:spPr>
                </pic:pic>
              </a:graphicData>
            </a:graphic>
          </wp:inline>
        </w:drawing>
      </w:r>
    </w:p>
    <w:p>
      <w:pPr>
        <w:jc w:val="center"/>
      </w:pPr>
      <w:r>
        <w:rPr>
          <w:i/>
          <w:color w:val="666666"/>
          <w:sz w:val="17"/>
        </w:rPr>
        <w:t>图1: 2010–2026年空间转录组学文献年度发文量（2025-2026年为高亮红色）。该领域呈指数增长态势，2025年全年文献量已达2,638篇，2026年截至4月已达1,246篇。</w:t>
      </w:r>
    </w:p>
    <w:p>
      <w:pPr>
        <w:jc w:val="center"/>
      </w:pPr>
      <w:r>
        <w:drawing>
          <wp:inline xmlns:a="http://schemas.openxmlformats.org/drawingml/2006/main" xmlns:pic="http://schemas.openxmlformats.org/drawingml/2006/picture">
            <wp:extent cx="4389120" cy="3657600"/>
            <wp:docPr id="2" name="Picture 2"/>
            <wp:cNvGraphicFramePr>
              <a:graphicFrameLocks noChangeAspect="1"/>
            </wp:cNvGraphicFramePr>
            <a:graphic>
              <a:graphicData uri="http://schemas.openxmlformats.org/drawingml/2006/picture">
                <pic:pic>
                  <pic:nvPicPr>
                    <pic:cNvPr id="0" name="chart_category_pie.png"/>
                    <pic:cNvPicPr/>
                  </pic:nvPicPr>
                  <pic:blipFill>
                    <a:blip r:embed="rId10"/>
                    <a:stretch>
                      <a:fillRect/>
                    </a:stretch>
                  </pic:blipFill>
                  <pic:spPr>
                    <a:xfrm>
                      <a:off x="0" y="0"/>
                      <a:ext cx="4389120" cy="3657600"/>
                    </a:xfrm>
                    <a:prstGeom prst="rect"/>
                  </pic:spPr>
                </pic:pic>
              </a:graphicData>
            </a:graphic>
          </wp:inline>
        </w:drawing>
      </w:r>
    </w:p>
    <w:p>
      <w:pPr>
        <w:jc w:val="center"/>
      </w:pPr>
      <w:r>
        <w:rPr>
          <w:i/>
          <w:color w:val="666666"/>
          <w:sz w:val="17"/>
        </w:rPr>
        <w:t>图2: 文献类别构成。Research类占比最高（54.5%），其次为Data Analysis（23.3%）和Review（18.0%）。Technology与Database类别合计仅占4.3%，是后续精细化标注的重点。</w:t>
      </w:r>
    </w:p>
    <w:p>
      <w:pPr>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chart_trends.png"/>
                    <pic:cNvPicPr/>
                  </pic:nvPicPr>
                  <pic:blipFill>
                    <a:blip r:embed="rId11"/>
                    <a:stretch>
                      <a:fillRect/>
                    </a:stretch>
                  </pic:blipFill>
                  <pic:spPr>
                    <a:xfrm>
                      <a:off x="0" y="0"/>
                      <a:ext cx="4754880" cy="2674620"/>
                    </a:xfrm>
                    <a:prstGeom prst="rect"/>
                  </pic:spPr>
                </pic:pic>
              </a:graphicData>
            </a:graphic>
          </wp:inline>
        </w:drawing>
      </w:r>
    </w:p>
    <w:p>
      <w:pPr>
        <w:jc w:val="center"/>
      </w:pPr>
      <w:r>
        <w:rPr>
          <w:i/>
          <w:color w:val="666666"/>
          <w:sz w:val="17"/>
        </w:rPr>
        <w:t>图3: 2020–2026年各类别增长趋势。所有类别均呈上升趋势，Research类增长最快（2025年1,390篇），Data Analysis类次之（2025年628篇）。</w:t>
      </w:r>
    </w:p>
    <w:p>
      <w:pPr>
        <w:jc w:val="center"/>
      </w:pPr>
      <w:r>
        <w:drawing>
          <wp:inline xmlns:a="http://schemas.openxmlformats.org/drawingml/2006/main" xmlns:pic="http://schemas.openxmlformats.org/drawingml/2006/picture">
            <wp:extent cx="4572000" cy="3265714"/>
            <wp:docPr id="4" name="Picture 4"/>
            <wp:cNvGraphicFramePr>
              <a:graphicFrameLocks noChangeAspect="1"/>
            </wp:cNvGraphicFramePr>
            <a:graphic>
              <a:graphicData uri="http://schemas.openxmlformats.org/drawingml/2006/picture">
                <pic:pic>
                  <pic:nvPicPr>
                    <pic:cNvPr id="0" name="chart_tags.png"/>
                    <pic:cNvPicPr/>
                  </pic:nvPicPr>
                  <pic:blipFill>
                    <a:blip r:embed="rId12"/>
                    <a:stretch>
                      <a:fillRect/>
                    </a:stretch>
                  </pic:blipFill>
                  <pic:spPr>
                    <a:xfrm>
                      <a:off x="0" y="0"/>
                      <a:ext cx="4572000" cy="3265714"/>
                    </a:xfrm>
                    <a:prstGeom prst="rect"/>
                  </pic:spPr>
                </pic:pic>
              </a:graphicData>
            </a:graphic>
          </wp:inline>
        </w:drawing>
      </w:r>
    </w:p>
    <w:p>
      <w:pPr>
        <w:jc w:val="center"/>
      </w:pPr>
      <w:r>
        <w:rPr>
          <w:i/>
          <w:color w:val="666666"/>
          <w:sz w:val="17"/>
        </w:rPr>
        <w:t>图4: 标签频次Top 15。Visium（2,878）和Cancer（2,821）显著领先，反映空间转录组学目前以10x Visium为主要技术平台、以肿瘤为主要应用场景。Pathology（1,745）和Clustering（1,185）分别反映组织病理学和聚类分析是核心分析任务。</w:t>
      </w:r>
    </w:p>
    <w:p>
      <w:pPr>
        <w:jc w:val="center"/>
      </w:pPr>
      <w:r>
        <w:drawing>
          <wp:inline xmlns:a="http://schemas.openxmlformats.org/drawingml/2006/main" xmlns:pic="http://schemas.openxmlformats.org/drawingml/2006/picture">
            <wp:extent cx="3657600" cy="3291840"/>
            <wp:docPr id="5" name="Picture 5"/>
            <wp:cNvGraphicFramePr>
              <a:graphicFrameLocks noChangeAspect="1"/>
            </wp:cNvGraphicFramePr>
            <a:graphic>
              <a:graphicData uri="http://schemas.openxmlformats.org/drawingml/2006/picture">
                <pic:pic>
                  <pic:nvPicPr>
                    <pic:cNvPr id="0" name="chart_confirmation.png"/>
                    <pic:cNvPicPr/>
                  </pic:nvPicPr>
                  <pic:blipFill>
                    <a:blip r:embed="rId13"/>
                    <a:stretch>
                      <a:fillRect/>
                    </a:stretch>
                  </pic:blipFill>
                  <pic:spPr>
                    <a:xfrm>
                      <a:off x="0" y="0"/>
                      <a:ext cx="3657600" cy="3291840"/>
                    </a:xfrm>
                    <a:prstGeom prst="rect"/>
                  </pic:spPr>
                </pic:pic>
              </a:graphicData>
            </a:graphic>
          </wp:inline>
        </w:drawing>
      </w:r>
    </w:p>
    <w:p>
      <w:pPr>
        <w:jc w:val="center"/>
      </w:pPr>
      <w:r>
        <w:rPr>
          <w:i/>
          <w:color w:val="666666"/>
          <w:sz w:val="17"/>
        </w:rPr>
        <w:t>图5: 人工确认进度。当前确认率仅6.84%（481/7,029），大量样本仍依赖自动预测，标注效率是下月推进重点。</w:t>
      </w:r>
    </w:p>
    <w:p>
      <w:pPr>
        <w:jc w:val="center"/>
      </w:pPr>
      <w:r>
        <w:drawing>
          <wp:inline xmlns:a="http://schemas.openxmlformats.org/drawingml/2006/main" xmlns:pic="http://schemas.openxmlformats.org/drawingml/2006/picture">
            <wp:extent cx="4389120" cy="3291840"/>
            <wp:docPr id="6" name="Picture 6"/>
            <wp:cNvGraphicFramePr>
              <a:graphicFrameLocks noChangeAspect="1"/>
            </wp:cNvGraphicFramePr>
            <a:graphic>
              <a:graphicData uri="http://schemas.openxmlformats.org/drawingml/2006/picture">
                <pic:pic>
                  <pic:nvPicPr>
                    <pic:cNvPr id="0" name="chart_uncertainty.png"/>
                    <pic:cNvPicPr/>
                  </pic:nvPicPr>
                  <pic:blipFill>
                    <a:blip r:embed="rId14"/>
                    <a:stretch>
                      <a:fillRect/>
                    </a:stretch>
                  </pic:blipFill>
                  <pic:spPr>
                    <a:xfrm>
                      <a:off x="0" y="0"/>
                      <a:ext cx="4389120" cy="3291840"/>
                    </a:xfrm>
                    <a:prstGeom prst="rect"/>
                  </pic:spPr>
                </pic:pic>
              </a:graphicData>
            </a:graphic>
          </wp:inline>
        </w:drawing>
      </w:r>
    </w:p>
    <w:p>
      <w:pPr>
        <w:jc w:val="center"/>
      </w:pPr>
      <w:r>
        <w:rPr>
          <w:i/>
          <w:color w:val="666666"/>
          <w:sz w:val="17"/>
        </w:rPr>
        <w:t>图6: 各类别模型不确定性分布。Review类不确定性最高（0.52），反映出综述类文献的语义边界模糊；Data Analysis类最低（0.34），方法学论文的文本特征较易学习。</w:t>
      </w:r>
    </w:p>
    <w:p>
      <w:r>
        <w:br w:type="page"/>
      </w:r>
    </w:p>
    <w:p>
      <w:pPr>
        <w:pStyle w:val="Heading2"/>
      </w:pPr>
      <w:r>
        <w:rPr>
          <w:color w:val="1A1A2E"/>
        </w:rPr>
        <w:t>2.3 系统功能与工程完成度</w:t>
      </w:r>
    </w:p>
    <w:p>
      <w:r>
        <w:rPr>
          <w:b w:val="0"/>
          <w:i w:val="0"/>
          <w:sz w:val="21"/>
        </w:rPr>
        <w:t>本月已完成以下可复现功能模块：</w:t>
      </w:r>
    </w:p>
    <w:p>
      <w:r>
        <w:rPr>
          <w:b/>
          <w:sz w:val="20"/>
        </w:rPr>
        <w:t>文献抓取与增量更新：</w:t>
      </w:r>
      <w:r>
        <w:rPr>
          <w:sz w:val="20"/>
        </w:rPr>
        <w:t>基于 PubMed Entrez API，按动态检索策略（基础空间转录组通用词 + tags.json 所有技术标签）增量拉取，自动去重，手动导入 PMID 列可复现追溯。</w:t>
      </w:r>
    </w:p>
    <w:p>
      <w:r>
        <w:rPr>
          <w:b/>
          <w:sz w:val="20"/>
        </w:rPr>
        <w:t>规则初始化与 ML 双轨推断：</w:t>
      </w:r>
      <w:r>
        <w:rPr>
          <w:sz w:val="20"/>
        </w:rPr>
        <w:t>Naive 规则引擎（migrate_naive.py）通过关键词匹配冷启动；ML 管线（ml_pipeline.py）基于 TF-IDF + SVC 在人工确认样本上训练，输出类别预测与不确定性分数。两条链路的分类器约束策略（enforce_category_tag_policy）已对齐。</w:t>
      </w:r>
    </w:p>
    <w:p>
      <w:r>
        <w:rPr>
          <w:b/>
          <w:sz w:val="20"/>
        </w:rPr>
        <w:t>人工标注闭环：</w:t>
      </w:r>
      <w:r>
        <w:rPr>
          <w:sz w:val="20"/>
        </w:rPr>
        <w:t>支持类别修正（5大类）、标签修改（多选+自定义）、Discarded 负样本标记、确认状态入库，前端提交后即时更新列表排序。</w:t>
      </w:r>
    </w:p>
    <w:p>
      <w:r>
        <w:rPr>
          <w:b/>
          <w:sz w:val="20"/>
        </w:rPr>
        <w:t>PDF 工作流：</w:t>
      </w:r>
      <w:r>
        <w:rPr>
          <w:sz w:val="20"/>
        </w:rPr>
        <w:t>支持本地上传（按 Category/Tag/DOI 自动归档）、URL 抓取下载、仅保存外链三种模式，与标注信息同步写入数据库。</w:t>
      </w:r>
    </w:p>
    <w:p>
      <w:r>
        <w:rPr>
          <w:b/>
          <w:sz w:val="20"/>
        </w:rPr>
        <w:t>模型重训与不确定性排序：</w:t>
      </w:r>
      <w:r>
        <w:rPr>
          <w:sz w:val="20"/>
        </w:rPr>
        <w:t>前端一键触发 ML pipeline 重训，基于已确认样本重新拟合后预测全部未确认文献，按不确定性分数降序排列，引导优先标注最不确定的样本。</w:t>
      </w:r>
    </w:p>
    <w:p>
      <w:r>
        <w:rPr>
          <w:b/>
          <w:sz w:val="20"/>
        </w:rPr>
        <w:t>标签管理体系：</w:t>
      </w:r>
      <w:r>
        <w:rPr>
          <w:sz w:val="20"/>
        </w:rPr>
        <w:t>tags.json 集中管理标签本体（domain/technology/analysis/metaCategory），前端 TagManager 支持增删改，后端同步更新数据库中的已有标注。</w:t>
      </w:r>
    </w:p>
    <w:p>
      <w:r>
        <w:rPr>
          <w:b/>
          <w:sz w:val="20"/>
        </w:rPr>
        <w:t>GitHub Pages 静态部署：</w:t>
      </w:r>
      <w:r>
        <w:rPr>
          <w:sz w:val="20"/>
        </w:rPr>
        <w:t>支持 VITE_STATIC_ONLY 模式，纯前端静态只读部署，数据快照自动生成。</w:t>
      </w:r>
    </w:p>
    <w:p/>
    <w:p>
      <w:pPr>
        <w:pStyle w:val="Heading2"/>
      </w:pPr>
      <w:r>
        <w:rPr>
          <w:color w:val="1A1A2E"/>
        </w:rPr>
        <w:t>2.4 文献阅读与认知推进</w:t>
      </w:r>
    </w:p>
    <w:p>
      <w:r>
        <w:rPr>
          <w:b w:val="0"/>
          <w:i w:val="0"/>
          <w:sz w:val="21"/>
        </w:rPr>
        <w:t>本月科研时间的核心投入在于空间转录组学文献的系统性阅读与知识框架梳理。通过 PubMed Spatial Tracker 筛选和结构化，重点阅读了以下方向的文献：</w:t>
      </w:r>
    </w:p>
    <w:p>
      <w:r>
        <w:rPr>
          <w:b/>
          <w:i w:val="0"/>
          <w:sz w:val="21"/>
        </w:rPr>
        <w:t>（1）技术平台对比</w:t>
      </w:r>
    </w:p>
    <w:p>
      <w:r>
        <w:rPr>
          <w:b w:val="0"/>
          <w:i w:val="0"/>
          <w:sz w:val="21"/>
        </w:rPr>
        <w:t>通过阅读 Visium、MERFISH、Stereo-seq、Xenium、CosMx、Slide-seq 等平台的方法学论文与技术综述，梳理了不同技术在空间分辨率（spot 级 → 单细胞级 → 亚细胞级）、检测通量、组织兼容性三个维度的差异。关键认知：当前亚细胞分辨率的主流方案为 MERFISH（基于成像）和 Stereo-seq（基于测序），这是课题"亚细胞水平共定位检测"的候选数据来源。</w:t>
      </w:r>
    </w:p>
    <w:p>
      <w:r>
        <w:rPr>
          <w:b/>
          <w:i w:val="0"/>
          <w:sz w:val="21"/>
        </w:rPr>
        <w:t>（2）共定位分析方法</w:t>
      </w:r>
    </w:p>
    <w:p>
      <w:r>
        <w:rPr>
          <w:b w:val="0"/>
          <w:i w:val="0"/>
          <w:sz w:val="21"/>
        </w:rPr>
        <w:t>重点调研了空间转录组中共定位检测的计算方法分类：共表达网络方法（如 SpaGCN、Giotto）、空间统计方法（如 SpatialDE、SPARK-X）、基于图像的共定位像素分析方法。关键认知：现有方法大多工作在 spot 或单细胞分辨率，直接适用于亚细胞水平的共定位检测工具极度稀缺，这验证了本课题的研究缺口。</w:t>
      </w:r>
    </w:p>
    <w:p>
      <w:r>
        <w:rPr>
          <w:b/>
          <w:i w:val="0"/>
          <w:sz w:val="21"/>
        </w:rPr>
        <w:t>（3）数据库与 Atlas 资源</w:t>
      </w:r>
    </w:p>
    <w:p>
      <w:r>
        <w:rPr>
          <w:b w:val="0"/>
          <w:i w:val="0"/>
          <w:sz w:val="21"/>
        </w:rPr>
        <w:t>梳理了 STOmicsDB、SpatialDB、SpatialOmics、TISSUE 等空间转录组数据库的收录范围、数据标准化方式与检索接口设计。关键认知：Database 类文献的标签自动化需要在"数据库名称"与"收录内容描述"之间做区分，这是平台标签策略改进的直接依据。</w:t>
      </w:r>
    </w:p>
    <w:p>
      <w:r>
        <w:rPr>
          <w:b/>
          <w:i w:val="0"/>
          <w:sz w:val="21"/>
        </w:rPr>
        <w:t>（4）标签体系认知迭代</w:t>
      </w:r>
    </w:p>
    <w:p>
      <w:r>
        <w:rPr>
          <w:b w:val="0"/>
          <w:i w:val="0"/>
          <w:sz w:val="21"/>
        </w:rPr>
        <w:t>通过对 7,029 篇文献标签分布的观察，形成了对领域热点和边缘方向的数据驱动认知。例如：Cancer (2,821) 的压倒性占比表明肿瘤是目前空间转录组学的绝对主力应用场景；"Domain Identification"标签在 2024-2025 年显著增长，反映空间域识别已成为分析流程中的标准步骤。</w:t>
      </w:r>
    </w:p>
    <w:p>
      <w:r>
        <w:br w:type="page"/>
      </w:r>
    </w:p>
    <w:p>
      <w:pPr>
        <w:pStyle w:val="Heading1"/>
      </w:pPr>
      <w:r>
        <w:rPr>
          <w:color w:val="1A1A2E"/>
        </w:rPr>
        <w:t>三、阶段性分析与问题识别</w:t>
      </w:r>
    </w:p>
    <w:p>
      <w:pPr>
        <w:pStyle w:val="Heading2"/>
      </w:pPr>
      <w:r>
        <w:rPr>
          <w:color w:val="1A1A2E"/>
        </w:rPr>
        <w:t>3.1 算法改进与效果</w:t>
      </w:r>
    </w:p>
    <w:p>
      <w:r>
        <w:rPr>
          <w:b w:val="0"/>
          <w:i w:val="0"/>
          <w:sz w:val="21"/>
        </w:rPr>
        <w:t>本月针对标签自动化的两项核心问题完成了策略增强：</w:t>
      </w:r>
    </w:p>
    <w:p>
      <w:r>
        <w:rPr>
          <w:b/>
          <w:i w:val="0"/>
          <w:sz w:val="21"/>
        </w:rPr>
        <w:t>问题1：新实体提取不足</w:t>
      </w:r>
    </w:p>
    <w:p>
      <w:r>
        <w:rPr>
          <w:b w:val="0"/>
          <w:i w:val="0"/>
          <w:sz w:val="21"/>
        </w:rPr>
        <w:t>Database 类和 Data Analysis 类文献中，模型容易偏向已知标签（如 "Cancer", "Visium"），导致文献标题中出现的数据库名称或方法名称未被提取。</w:t>
      </w:r>
    </w:p>
    <w:p>
      <w:r>
        <w:rPr>
          <w:b/>
          <w:i w:val="0"/>
          <w:sz w:val="21"/>
        </w:rPr>
        <w:t>改进措施：</w:t>
      </w:r>
    </w:p>
    <w:p>
      <w:pPr>
        <w:pStyle w:val="ListBullet"/>
      </w:pPr>
      <w:r>
        <w:t>将新命名实体提取从单一冒号规则（": "前缀匹配）升级为多模式候选提取，增加正则模式覆盖 "XXX database/atlas/resource/repository" 和 "XXX method/framework/pipeline/algorithm" 等常见命名模式。</w:t>
      </w:r>
    </w:p>
    <w:p>
      <w:pPr>
        <w:pStyle w:val="ListBullet"/>
      </w:pPr>
      <w:r>
        <w:t>引入泛词停用词表（GENERIC_NAME_STOPWORDS），过滤 "analysis", "method", "study", "pipeline" 等高频泛词，减少误报。</w:t>
      </w:r>
    </w:p>
    <w:p>
      <w:pPr>
        <w:pStyle w:val="ListBullet"/>
      </w:pPr>
      <w:r>
        <w:t>在 Database 和 Data Analysis 类别的后处理中强化"新实体优先"策略：若成功提取新实体名称，优先使用；仅当提取失败时才回退到标签组的默认标签。</w:t>
      </w:r>
    </w:p>
    <w:p>
      <w:r>
        <w:rPr>
          <w:b w:val="0"/>
          <w:i w:val="0"/>
          <w:sz w:val="21"/>
        </w:rPr>
        <w:t>目前改进已编码完成并集成到 migrate_naive.py（规则引擎）和 ml_pipeline.py（ML 链路）。标注数据规模仍然较小（481 篇），尚不具备正式评估的条件。下月将建立专项评估集量化改进效果。</w:t>
      </w:r>
    </w:p>
    <w:p/>
    <w:p>
      <w:pPr>
        <w:pStyle w:val="Heading2"/>
      </w:pPr>
      <w:r>
        <w:rPr>
          <w:color w:val="1A1A2E"/>
        </w:rPr>
        <w:t>3.2 当前模型局限性</w:t>
      </w:r>
    </w:p>
    <w:p>
      <w:r>
        <w:rPr>
          <w:b/>
          <w:i w:val="0"/>
          <w:sz w:val="21"/>
        </w:rPr>
        <w:t>文本向量化：</w:t>
      </w:r>
    </w:p>
    <w:p>
      <w:r>
        <w:rPr>
          <w:b w:val="0"/>
          <w:i w:val="0"/>
          <w:sz w:val="21"/>
        </w:rPr>
        <w:t>当前使用 TF-IDF（词频-逆文档频率）将标题+摘要转化为稀疏向量，分类器为线性 SVM。该方案的局限在于：(1) 无法捕获上下文语义关系（如 "single-cell resolution" 和 "subcellular" 在 TF-IDF 空间中不相关，但在语义上高度关联）；(2) 对罕见词和新出现的技术名词（如新测序平台名称）缺乏泛化能力。</w:t>
      </w:r>
    </w:p>
    <w:p>
      <w:r>
        <w:rPr>
          <w:b/>
          <w:i w:val="0"/>
          <w:sz w:val="21"/>
        </w:rPr>
        <w:t>主动学习的实质：</w:t>
      </w:r>
    </w:p>
    <w:p>
      <w:r>
        <w:rPr>
          <w:b w:val="0"/>
          <w:i w:val="0"/>
          <w:sz w:val="21"/>
        </w:rPr>
        <w:t>当前"主动学习"实际为批量被动重训：用已确认数据全量训练后预测全部未确认数据，按不确定性排序。缺少真正的 Query Strategy（如 entropy sampling 选 Top-K 最不确定的样本迭代标注），属于主动学习的简化版本。</w:t>
      </w:r>
    </w:p>
    <w:p>
      <w:r>
        <w:rPr>
          <w:b/>
          <w:i w:val="0"/>
          <w:sz w:val="21"/>
        </w:rPr>
        <w:t>类别分布不均衡：</w:t>
      </w:r>
    </w:p>
    <w:p>
      <w:r>
        <w:rPr>
          <w:b w:val="0"/>
          <w:i w:val="0"/>
          <w:sz w:val="21"/>
        </w:rPr>
        <w:t>Research 类（3,827 篇）是 Database 类（34 篇）的 113 倍。极度不均衡的类别分布对 SVC 的少样本类别分类构成挑战。</w:t>
      </w:r>
    </w:p>
    <w:p/>
    <w:p>
      <w:pPr>
        <w:pStyle w:val="Heading2"/>
      </w:pPr>
      <w:r>
        <w:rPr>
          <w:color w:val="1A1A2E"/>
        </w:rPr>
        <w:t>3.3 平台工程问题（已识别，待解决）</w:t>
      </w:r>
    </w:p>
    <w:p>
      <w:r>
        <w:rPr>
          <w:b w:val="0"/>
          <w:i w:val="0"/>
          <w:sz w:val="21"/>
        </w:rPr>
        <w:t>以下工程层面的问题在本月审计中已识别并列入短期优化计划：</w:t>
      </w:r>
    </w:p>
    <w:p>
      <w:pPr>
        <w:pStyle w:val="ListBullet"/>
      </w:pPr>
      <w:r>
        <w:t>数据并发安全：save_df() 使用全量覆盖写入（if_exists='replace'），多用户快速提交时存在数据丢失风险。当前 threading.Lock 仅保护单进程。</w:t>
      </w:r>
    </w:p>
    <w:p>
      <w:pPr>
        <w:pStyle w:val="ListBullet"/>
      </w:pPr>
      <w:r>
        <w:t>数据库表结构：literature 表未设 PRIMARY KEY，uncertainty_score 列类型为 TEXT 而非 REAL。</w:t>
      </w:r>
    </w:p>
    <w:p>
      <w:pPr>
        <w:pStyle w:val="ListBullet"/>
      </w:pPr>
      <w:r>
        <w:t>代码重复：guess_novel_name() 等函数在 migrate_naive.py 和 ml_pipeline.py 中完全重复。</w:t>
      </w:r>
    </w:p>
    <w:p>
      <w:r>
        <w:br w:type="page"/>
      </w:r>
    </w:p>
    <w:p>
      <w:pPr>
        <w:pStyle w:val="Heading1"/>
      </w:pPr>
      <w:r>
        <w:rPr>
          <w:color w:val="1A1A2E"/>
        </w:rPr>
        <w:t>四、本月实验小结</w:t>
      </w:r>
    </w:p>
    <w:p>
      <w:r>
        <w:rPr>
          <w:b/>
          <w:i w:val="0"/>
          <w:sz w:val="21"/>
        </w:rPr>
        <w:t>本月主要成果：</w:t>
      </w:r>
    </w:p>
    <w:p>
      <w:pPr>
        <w:pStyle w:val="ListBullet"/>
      </w:pPr>
      <w:r>
        <w:t>搭建了可运行的 PubMed Spatial Tracker 全链路平台，入库 7,029 篇文献，并完成 22 字段的结构化。</w:t>
      </w:r>
    </w:p>
    <w:p>
      <w:pPr>
        <w:pStyle w:val="ListBullet"/>
      </w:pPr>
      <w:r>
        <w:t>完成了规则引擎与 ML 双轨推断通道的建立与约束策略对齐，481 篇人工确认样本已可用于模型训练。</w:t>
      </w:r>
    </w:p>
    <w:p>
      <w:pPr>
        <w:pStyle w:val="ListBullet"/>
      </w:pPr>
      <w:r>
        <w:t>通过系统性文献阅读，建立了对空间转录组技术平台、共定位分析方法、数据库资源三个维度的初步认知框架，并确认了"亚细胞水平共定位检测工具稀缺"这一研究缺口。</w:t>
      </w:r>
    </w:p>
    <w:p>
      <w:pPr>
        <w:pStyle w:val="ListBullet"/>
      </w:pPr>
      <w:r>
        <w:t>完成了标签自动化中新实体提取的策略增强和泛词过滤机制。</w:t>
      </w:r>
    </w:p>
    <w:p/>
    <w:p>
      <w:r>
        <w:rPr>
          <w:b/>
          <w:i w:val="0"/>
          <w:sz w:val="21"/>
        </w:rPr>
        <w:t>主要不足与挑战：</w:t>
      </w:r>
    </w:p>
    <w:p>
      <w:pPr>
        <w:pStyle w:val="ListBullet"/>
      </w:pPr>
      <w:r>
        <w:t>人工确认比例仅 6.84%（481/7,029），模型训练样本严重不足，预测可靠性有限。</w:t>
      </w:r>
    </w:p>
    <w:p>
      <w:pPr>
        <w:pStyle w:val="ListBullet"/>
      </w:pPr>
      <w:r>
        <w:t>算法改进尚未量化评估——新实体提取的召回率、首标签命中率、假阳性率均无数据支撑。</w:t>
      </w:r>
    </w:p>
    <w:p>
      <w:pPr>
        <w:pStyle w:val="ListBullet"/>
      </w:pPr>
      <w:r>
        <w:t>目前成果以"平台搭建与知识整理"为主，尚未形成明确的生物学问题验证或方法学 benchmark。</w:t>
      </w:r>
    </w:p>
    <w:p>
      <w:pPr>
        <w:pStyle w:val="ListBullet"/>
      </w:pPr>
      <w:r>
        <w:t>部分工程问题（并发写入、数据库表结构）虽已识别但尚未修复。</w:t>
      </w:r>
    </w:p>
    <w:p>
      <w:r>
        <w:br w:type="page"/>
      </w:r>
    </w:p>
    <w:p>
      <w:pPr>
        <w:pStyle w:val="Heading1"/>
      </w:pPr>
      <w:r>
        <w:rPr>
          <w:color w:val="1A1A2E"/>
        </w:rPr>
        <w:t>五、下月实验计划</w:t>
      </w:r>
    </w:p>
    <w:p>
      <w:r>
        <w:rPr>
          <w:b/>
          <w:i w:val="0"/>
          <w:sz w:val="21"/>
        </w:rPr>
        <w:t>建立专项评估集（第1-2周）</w:t>
      </w:r>
    </w:p>
    <w:p>
      <w:r>
        <w:rPr>
          <w:b w:val="0"/>
          <w:i w:val="0"/>
          <w:sz w:val="21"/>
        </w:rPr>
        <w:t>针对 Database 和 Data Analysis 类别构造人工金标准（每类 ≥ 30 篇），量化新实体提取的召回率、精确率与 F1 值。同时评估类别预测的整体准确率与各类别 F1 分数，输出 ML_Performance_Report。</w:t>
      </w:r>
    </w:p>
    <w:p/>
    <w:p>
      <w:r>
        <w:rPr>
          <w:b/>
          <w:i w:val="0"/>
          <w:sz w:val="21"/>
        </w:rPr>
        <w:t>提升标注效率与确认率（持续）</w:t>
      </w:r>
    </w:p>
    <w:p>
      <w:r>
        <w:rPr>
          <w:b w:val="0"/>
          <w:i w:val="0"/>
          <w:sz w:val="21"/>
        </w:rPr>
        <w:t>按不确定性分数排序，优先标注 Top-100 最高不确定文献；目标将人工确认率从 6.84% 提升至 10% 以上（即超过 702 篇确认样本）。重点关注 Review 和 Technology 两个高不确定性类别。</w:t>
      </w:r>
    </w:p>
    <w:p/>
    <w:p>
      <w:r>
        <w:rPr>
          <w:b/>
          <w:i w:val="0"/>
          <w:sz w:val="21"/>
        </w:rPr>
        <w:t>修复 P0/P1 工程问题（第1周）</w:t>
      </w:r>
    </w:p>
    <w:p>
      <w:r>
        <w:rPr>
          <w:b w:val="0"/>
          <w:i w:val="0"/>
          <w:sz w:val="21"/>
        </w:rPr>
        <w:t>修复 save_df() 并发写入问题（改用逐行 UPDATE + 事务），为 literature 表添加 pmid PRIMARY KEY 约束，消除代码重复。</w:t>
      </w:r>
    </w:p>
    <w:p/>
    <w:p>
      <w:r>
        <w:rPr>
          <w:b/>
          <w:i w:val="0"/>
          <w:sz w:val="21"/>
        </w:rPr>
        <w:t>形成小型研究问题（第3-4周）</w:t>
      </w:r>
    </w:p>
    <w:p>
      <w:r>
        <w:rPr>
          <w:b w:val="0"/>
          <w:i w:val="0"/>
          <w:sz w:val="21"/>
        </w:rPr>
        <w:t>基于文献库数据驱动分析 + 文献阅读认知，提出一个可汇报的研究问题。候选方向示例："不同空间技术在肿瘤研究中的应用分布差异"、"亚细胞分辨率共定位检测方法的计算框架比较"。</w:t>
      </w:r>
    </w:p>
    <w:p/>
    <w:p>
      <w:r>
        <w:rPr>
          <w:b/>
          <w:i w:val="0"/>
          <w:sz w:val="21"/>
        </w:rPr>
        <w:t>输出课程汇报材料（第4周）</w:t>
      </w:r>
    </w:p>
    <w:p>
      <w:r>
        <w:rPr>
          <w:b w:val="0"/>
          <w:i w:val="0"/>
          <w:sz w:val="21"/>
        </w:rPr>
        <w:t>将数据库自动生成的分析图表（年份趋势、类别分布、标签热度、期刊分布）与文献阅读结论整合为正式 PPT 汇报稿，准备科研训练中期/阶段性汇报。</w:t>
      </w:r>
    </w:p>
    <w:p/>
    <w:p/>
    <w:p/>
    <w:p>
      <w:pPr>
        <w:jc w:val="right"/>
      </w:pPr>
      <w:r>
        <w:rPr>
          <w:sz w:val="20"/>
        </w:rPr>
        <w:t>所在实验室：杨雪瑞实验室         导师签字：______________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