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spacing w:before="156" w:after="156"/>
      </w:pPr>
      <w:bookmarkStart w:id="0" w:name="_Toc159845601"/>
    </w:p>
    <w:p>
      <w:pPr>
        <w:pStyle w:val="10"/>
        <w:spacing w:before="156" w:after="156"/>
      </w:pPr>
    </w:p>
    <w:p>
      <w:pPr>
        <w:pStyle w:val="10"/>
        <w:spacing w:before="156" w:after="156"/>
      </w:pPr>
    </w:p>
    <w:p>
      <w:pPr>
        <w:pStyle w:val="10"/>
        <w:spacing w:before="156" w:after="156"/>
      </w:pPr>
    </w:p>
    <w:p>
      <w:pPr>
        <w:pStyle w:val="10"/>
        <w:spacing w:before="156" w:after="156"/>
      </w:pPr>
    </w:p>
    <w:p>
      <w:pPr>
        <w:pStyle w:val="10"/>
        <w:spacing w:before="156" w:after="156"/>
        <w:rPr>
          <w:sz w:val="40"/>
          <w:szCs w:val="40"/>
        </w:rPr>
      </w:pPr>
      <w:r>
        <w:rPr>
          <w:rFonts w:hint="eastAsia"/>
          <w:sz w:val="40"/>
          <w:szCs w:val="40"/>
        </w:rPr>
        <w:t>“绿水青山就是金山银山”理念引领共同富裕</w:t>
      </w:r>
      <w:bookmarkEnd w:id="0"/>
    </w:p>
    <w:p>
      <w:pPr>
        <w:pStyle w:val="9"/>
        <w:spacing w:before="156" w:after="156"/>
        <w:rPr>
          <w:sz w:val="36"/>
          <w:szCs w:val="36"/>
        </w:rPr>
      </w:pPr>
      <w:bookmarkStart w:id="1" w:name="_Toc159845602"/>
      <w:r>
        <w:rPr>
          <w:rFonts w:hint="eastAsia"/>
          <w:sz w:val="36"/>
          <w:szCs w:val="36"/>
        </w:rPr>
        <w:t>——以</w:t>
      </w:r>
      <w:r>
        <w:rPr>
          <w:sz w:val="36"/>
          <w:szCs w:val="36"/>
        </w:rPr>
        <w:t>云南省德宏傣族景颇族自治州</w:t>
      </w:r>
      <w:r>
        <w:rPr>
          <w:rFonts w:hint="eastAsia"/>
          <w:sz w:val="36"/>
          <w:szCs w:val="36"/>
        </w:rPr>
        <w:t>盈江县为例</w:t>
      </w:r>
      <w:bookmarkEnd w:id="1"/>
    </w:p>
    <w:p>
      <w:pPr>
        <w:spacing w:before="156" w:after="156" w:line="400" w:lineRule="exact"/>
        <w:ind w:firstLine="480" w:firstLineChars="200"/>
        <w:jc w:val="left"/>
        <w:rPr>
          <w:rFonts w:ascii="宋体" w:hAnsi="宋体"/>
          <w:szCs w:val="24"/>
        </w:rPr>
      </w:pPr>
    </w:p>
    <w:p>
      <w:pPr>
        <w:spacing w:before="156" w:after="156"/>
        <w:rPr>
          <w:rFonts w:asciiTheme="minorHAnsi" w:hAnsiTheme="minorHAnsi" w:eastAsiaTheme="minorEastAsia" w:cstheme="minorBidi"/>
          <w:sz w:val="21"/>
        </w:rPr>
      </w:pPr>
      <w:r>
        <w:br w:type="page"/>
      </w:r>
    </w:p>
    <w:p>
      <w:pPr>
        <w:spacing w:before="156" w:after="156"/>
        <w:ind w:firstLine="480" w:firstLineChars="200"/>
        <w:jc w:val="left"/>
        <w:rPr>
          <w:rFonts w:ascii="宋体" w:hAnsi="宋体"/>
          <w:szCs w:val="21"/>
        </w:rPr>
      </w:pPr>
    </w:p>
    <w:p>
      <w:pPr>
        <w:pStyle w:val="2"/>
        <w:spacing w:before="156" w:after="156"/>
      </w:pPr>
      <w:bookmarkStart w:id="2" w:name="_Toc159845626"/>
      <w:r>
        <w:rPr>
          <w:rFonts w:hint="eastAsia"/>
        </w:rPr>
        <w:t>盈江县的产业发展现状——以石梯村为例</w:t>
      </w:r>
      <w:bookmarkEnd w:id="2"/>
    </w:p>
    <w:p>
      <w:pPr>
        <w:pStyle w:val="19"/>
        <w:spacing w:before="156" w:after="156"/>
        <w:ind w:firstLine="480"/>
        <w:jc w:val="left"/>
        <w:rPr>
          <w:rFonts w:ascii="宋体" w:hAnsi="宋体" w:cs="宋体"/>
          <w:szCs w:val="21"/>
        </w:rPr>
      </w:pPr>
      <w:r>
        <w:rPr>
          <w:rFonts w:hint="eastAsia" w:ascii="宋体" w:hAnsi="宋体" w:cs="宋体"/>
          <w:szCs w:val="21"/>
        </w:rPr>
        <w:t>作为盈江县发展观鸟旅游产业的重点村、示范村，石梯村民小组在资源禀赋上具有鲜明的特征，也在盈江县域内具有相当的代表性。石梯村民小组，因在陡峭悬崖上开凿阶梯出行而得名，与缅甸山水相连，是南方古丝绸之路出境重要通道。石梯村森林覆盖率达 90%以上，是全</w:t>
      </w:r>
      <w:r>
        <w:rPr>
          <w:rFonts w:hint="eastAsia" w:ascii="宋体" w:hAnsi="宋体" w:cs="宋体"/>
          <w:b/>
          <w:bCs/>
          <w:szCs w:val="21"/>
        </w:rPr>
        <w:t>国生物多样性最丰富、鸟类最集中的地区之一</w:t>
      </w:r>
      <w:r>
        <w:rPr>
          <w:rFonts w:hint="eastAsia" w:ascii="宋体" w:hAnsi="宋体" w:cs="宋体"/>
          <w:szCs w:val="21"/>
        </w:rPr>
        <w:t>，双角犀鸟、花冠皱盔犀鸟、冠斑犀鸟在石梯村均有稳定的繁殖点。依托丰富的鸟类资源发展观鸟产业，正是盈江县探索绿色发展道路的重要缩影。石梯村民小组隔江就是缅甸村寨，村民同时肩负着守边的光荣使命；石梯村是一个景颇族、傈僳族聚居的边境直过民族村，在全面脱贫之前贫困发生率高达百分之五十以上。在边疆、少数民族、经济欠发达这些特点上，都很好地折射了盈江的社会生态</w:t>
      </w:r>
      <w:r>
        <w:rPr>
          <w:rFonts w:hint="eastAsia" w:ascii="宋体" w:hAnsi="宋体" w:cs="宋体"/>
          <w:szCs w:val="21"/>
          <w:lang w:eastAsia="zh-CN"/>
        </w:rPr>
        <w:t>。</w:t>
      </w:r>
      <w:r>
        <w:rPr>
          <w:rFonts w:hint="eastAsia" w:ascii="宋体" w:hAnsi="宋体" w:cs="宋体"/>
          <w:szCs w:val="21"/>
        </w:rPr>
        <w:t>调研走访石梯村，研究石梯村脱贫后产业发展的现状，对了解整个盈江县发展的优劣势，和对盈江县进一步发展的规划都具有重要意义。</w:t>
      </w:r>
    </w:p>
    <w:p>
      <w:pPr>
        <w:pStyle w:val="3"/>
        <w:numPr>
          <w:ilvl w:val="0"/>
          <w:numId w:val="6"/>
        </w:numPr>
        <w:spacing w:before="156" w:after="156"/>
      </w:pPr>
      <w:bookmarkStart w:id="3" w:name="_Toc159845627"/>
      <w:r>
        <w:rPr>
          <w:rFonts w:hint="eastAsia"/>
        </w:rPr>
        <w:t>石梯村产业发展的优势</w:t>
      </w:r>
      <w:bookmarkEnd w:id="3"/>
    </w:p>
    <w:p>
      <w:pPr>
        <w:pStyle w:val="19"/>
        <w:spacing w:before="156" w:after="156"/>
        <w:ind w:firstLine="480"/>
        <w:jc w:val="left"/>
        <w:rPr>
          <w:rFonts w:ascii="宋体" w:hAnsi="宋体" w:cs="宋体"/>
          <w:szCs w:val="21"/>
        </w:rPr>
      </w:pPr>
      <w:r>
        <w:rPr>
          <w:rFonts w:hint="eastAsia" w:ascii="宋体" w:hAnsi="宋体" w:cs="宋体"/>
          <w:szCs w:val="21"/>
        </w:rPr>
        <w:t>石梯村目前重点发展的产业是观鸟旅游，以农业种植与旅游服务相结合，走农旅融合发展之路。从自然和人文两方面，石梯村发展一三产业具有诸多优势。</w:t>
      </w:r>
    </w:p>
    <w:p>
      <w:pPr>
        <w:pStyle w:val="4"/>
        <w:numPr>
          <w:ilvl w:val="0"/>
          <w:numId w:val="7"/>
        </w:numPr>
        <w:spacing w:before="156" w:after="156"/>
      </w:pPr>
      <w:bookmarkStart w:id="4" w:name="_Toc159845628"/>
      <w:r>
        <w:rPr>
          <w:rFonts w:hint="eastAsia"/>
        </w:rPr>
        <w:t>自然条件优越</w:t>
      </w:r>
      <w:bookmarkEnd w:id="4"/>
    </w:p>
    <w:p>
      <w:pPr>
        <w:pStyle w:val="19"/>
        <w:spacing w:before="156" w:after="156"/>
        <w:ind w:firstLineChars="0"/>
        <w:jc w:val="left"/>
        <w:rPr>
          <w:rFonts w:hint="eastAsia" w:ascii="宋体" w:hAnsi="宋体" w:cs="宋体"/>
          <w:szCs w:val="21"/>
        </w:rPr>
      </w:pPr>
      <w:r>
        <w:rPr>
          <w:rFonts w:hint="eastAsia" w:ascii="宋体" w:hAnsi="宋体" w:cs="宋体"/>
          <w:szCs w:val="21"/>
        </w:rPr>
        <w:t>石梯村，位于伊洛瓦底江水系的热带和亚热带地区，拥有13.87平方公里的国土面积和700米的平均海拔，其年均温度为20℃，年降水量超过2000mm。这样的气候条件不仅为水热充足的环境提供了基础，而且极为有利于热带及亚热带作物的生长，使得石梯村成为香茅草、咖啡等经济作物的理想生长环境。石梯村的小粒咖啡、坚果花蜜等特色产品，不仅丰富了当地的物产，而且揭示了这里还蕴含着大量未被充分挖掘的农业资源。</w:t>
      </w:r>
    </w:p>
    <w:p>
      <w:pPr>
        <w:pStyle w:val="19"/>
        <w:spacing w:before="156" w:after="156"/>
        <w:ind w:firstLineChars="0"/>
        <w:jc w:val="left"/>
        <w:rPr>
          <w:rFonts w:hint="eastAsia" w:ascii="宋体" w:hAnsi="宋体" w:cs="宋体"/>
          <w:szCs w:val="21"/>
        </w:rPr>
      </w:pPr>
      <w:r>
        <w:rPr>
          <w:rFonts w:hint="eastAsia" w:ascii="宋体" w:hAnsi="宋体" w:cs="宋体"/>
          <w:szCs w:val="21"/>
        </w:rPr>
        <w:t>石梯村的人均耕地面积相对较大，许多家庭拥有几十亩的土地，这为经济作物的种植提供了充足的土地资源，使得石梯村在发展半山经济方面拥有巨大的潜力。同时，超过90%的森林覆盖率和广阔的森林面积，孕育了丰富的热带雨林和季雨林资源。这些生态资源不仅为林下经济的发展提供了良好的条件，如林下种植业、养殖业、采集业等，还有助于保护和培育诸如中药材、荔枝、坚果等林下作物，为当地经济发展提供了多元化的可能性。</w:t>
      </w:r>
    </w:p>
    <w:p>
      <w:pPr>
        <w:pStyle w:val="19"/>
        <w:spacing w:before="156" w:after="156"/>
        <w:ind w:firstLineChars="0"/>
        <w:jc w:val="left"/>
        <w:rPr>
          <w:rFonts w:hint="eastAsia" w:ascii="宋体" w:hAnsi="宋体" w:cs="宋体"/>
          <w:szCs w:val="21"/>
        </w:rPr>
      </w:pPr>
      <w:r>
        <w:rPr>
          <w:rFonts w:hint="eastAsia" w:ascii="宋体" w:hAnsi="宋体" w:cs="宋体"/>
          <w:szCs w:val="21"/>
        </w:rPr>
        <w:t>石梯村的森林资源丰富，紧邻的铜壁关省级自然保护区洪崩河片区，以其独特的生态自然景观和完整保存的热带雨林生态系统，吸引了丰富的野生动植物资源。境内不仅有多种珍稀濒危保护植物动物，还有德宏特有的少包买麻藤、瓦理棕、鹿角蕨等植物，使得石梯村成为了“绿色王国、物种基因库”，并为旅游和科学考察提供了丰富的资源。此外，500余种鸟类的栖息，包括双角犀鸟、花冠皱盔犀鸟、冠斑犀鸟等在内的稳定繁殖点，使得石梯村成为全国最适宜观测犀鸟的地区之一。</w:t>
      </w:r>
    </w:p>
    <w:p>
      <w:pPr>
        <w:pStyle w:val="19"/>
        <w:spacing w:before="156" w:after="156"/>
        <w:ind w:firstLineChars="0"/>
        <w:jc w:val="left"/>
        <w:rPr>
          <w:rFonts w:ascii="宋体" w:hAnsi="宋体" w:cs="宋体"/>
          <w:szCs w:val="21"/>
        </w:rPr>
      </w:pPr>
      <w:r>
        <w:rPr>
          <w:rFonts w:hint="eastAsia" w:ascii="宋体" w:hAnsi="宋体" w:cs="宋体"/>
          <w:szCs w:val="21"/>
        </w:rPr>
        <w:t>这样的自然环境和生物多样性，不仅为研学旅行、科考旅行、观鸟旅行、摄影旅行等提供了绝佳的条件，而且也为石梯村的旅游业发展打开了广阔的空间。优越的自然条件和丰富的生态资源，使得石梯村有望成为区域乃至国家级的旅游目的地，吸引来自世界各地对自然生态和生物多样性感兴趣的游客，进一步推动当地经济的发展与繁荣。</w:t>
      </w:r>
    </w:p>
    <w:p>
      <w:pPr>
        <w:pStyle w:val="4"/>
      </w:pPr>
      <w:bookmarkStart w:id="5" w:name="_Toc159845629"/>
      <w:r>
        <w:rPr>
          <w:rFonts w:hint="eastAsia"/>
        </w:rPr>
        <w:t>人文历史</w:t>
      </w:r>
      <w:bookmarkEnd w:id="5"/>
    </w:p>
    <w:p>
      <w:pPr>
        <w:pStyle w:val="19"/>
        <w:spacing w:before="156" w:after="156"/>
        <w:ind w:firstLineChars="0"/>
        <w:jc w:val="left"/>
        <w:rPr>
          <w:rFonts w:ascii="宋体" w:hAnsi="宋体" w:cs="宋体"/>
          <w:szCs w:val="21"/>
        </w:rPr>
      </w:pPr>
      <w:r>
        <w:rPr>
          <w:rFonts w:hint="eastAsia" w:ascii="宋体" w:hAnsi="宋体" w:cs="宋体"/>
          <w:szCs w:val="21"/>
        </w:rPr>
        <w:t>作为南方丝绸之路的国内终点和国际起点，石梯村保留了丝绸之路的通道的一些遗迹。石梯村的石梯，正是古代丝绸之路上的商人、马队，在悬崖峭壁上往来的重要通道，也是这一段历史的见证和印记。石梯在攀登赏景的同时，兼具历史文化底蕴，多功能复合的旅游资源，无疑有着很大的挖掘空间。</w:t>
      </w:r>
    </w:p>
    <w:p>
      <w:pPr>
        <w:pStyle w:val="19"/>
        <w:spacing w:before="156" w:after="156"/>
        <w:ind w:firstLineChars="0"/>
        <w:jc w:val="left"/>
        <w:rPr>
          <w:rFonts w:ascii="宋体" w:hAnsi="宋体" w:cs="宋体"/>
          <w:szCs w:val="21"/>
        </w:rPr>
      </w:pPr>
      <w:r>
        <w:rPr>
          <w:rFonts w:hint="eastAsia" w:ascii="宋体" w:hAnsi="宋体" w:cs="宋体"/>
          <w:b/>
          <w:bCs/>
          <w:szCs w:val="21"/>
        </w:rPr>
        <w:t>这里的风土人情，独特的民族特色更是旅游业发展的突出条件。</w:t>
      </w:r>
      <w:r>
        <w:rPr>
          <w:rFonts w:hint="eastAsia" w:ascii="宋体" w:hAnsi="宋体" w:cs="宋体"/>
          <w:szCs w:val="21"/>
        </w:rPr>
        <w:t>石梯村主要聚居着景颇族、傈僳族的少数民族群众，民风淳朴热情，生活趣味横生、自得其乐。石梯村独特的风土人情和民族特色，为旅游业发展提供了突出的优势。主要由景颇族、傈僳族等少数民族群体聚居的石梯村，民风淳朴热情，生活中充满了趣味和自得其乐的氛围。特别是景颇族的民俗文化，以其伴山而居的生活方式、豪放热情的性格，以及丰富多彩的民族节庆和民俗活动，为旅游业的发展增添了浓厚的文化底蕴。</w:t>
      </w:r>
    </w:p>
    <w:p>
      <w:pPr>
        <w:pStyle w:val="19"/>
        <w:spacing w:before="156" w:after="156"/>
        <w:ind w:firstLineChars="0"/>
        <w:jc w:val="left"/>
        <w:rPr>
          <w:rFonts w:ascii="宋体" w:hAnsi="宋体" w:cs="宋体"/>
          <w:szCs w:val="21"/>
        </w:rPr>
      </w:pPr>
      <w:r>
        <w:rPr>
          <w:rFonts w:hint="eastAsia" w:ascii="宋体" w:hAnsi="宋体" w:cs="宋体"/>
          <w:szCs w:val="21"/>
        </w:rPr>
        <w:t>以这里的景颇族民俗文化为例，景颇族伴山而居，性格豪放、热情好客，有目瑙纵歌节、新米节等民族节庆，有目瑙、景颇刀舞、织锦等民俗文化，还有鸡肉稀饭、景颇水酒等特色美食。饮酒的礼节文化值得作为特色旅游的内容。景颇族喜欢喝烧酒和自制的水酒。景颇人喝酒十分注重礼节，主人递上酒筒，客人要用双手托住酒筒的底部，不能只用一只手抓住酒筒的上部。饮酒时，不能抬着酒筒喝，只能用酒筒盖盛酒喝。出门时筒帕里常常背着一个竹制的小酒筒，熟人相遇互相敬酒，不是接过来就喝，而是先倒回对方的酒筒里一点再喝。大家共饮一杯酒时，每个人喝一口后都用手揩一下自己喝过的地方，再转给别人，如有老人在场，当让老人先喝。</w:t>
      </w:r>
    </w:p>
    <w:p>
      <w:pPr>
        <w:pStyle w:val="19"/>
        <w:spacing w:before="156" w:after="156"/>
        <w:ind w:firstLineChars="0"/>
        <w:jc w:val="left"/>
        <w:rPr>
          <w:rFonts w:ascii="宋体" w:hAnsi="宋体" w:cs="宋体"/>
          <w:szCs w:val="21"/>
        </w:rPr>
      </w:pPr>
      <w:r>
        <w:rPr>
          <w:rFonts w:hint="eastAsia" w:ascii="宋体" w:hAnsi="宋体" w:cs="宋体"/>
          <w:szCs w:val="21"/>
        </w:rPr>
        <w:t>景颇族服饰风格也很独特，男子服饰以黑、白为主色，老年男子服饰各支系相同，均着黑色对襟短衣和黑色宽管长裤，戴黑色包头。中、青年男子服饰，景颇支系与其他支系间存在细微差别，上身内穿白色立领衬衣、外套黑色圆领外衣，下身穿黑色长裤，头戴红蓝色相间的方格棉纱布圆筒形头巾。其他几个支系的中、青年男子，均着白色衬衣，黑色长裤，戴饰有各色绒球缨穗的白色包头。无论哪个支系的男子出行，均随身背挎筒帕（即背包）和长刀。长刀文化就兼具民族风情和观赏性。</w:t>
      </w:r>
    </w:p>
    <w:p>
      <w:pPr>
        <w:spacing w:before="156" w:after="156"/>
        <w:jc w:val="center"/>
        <w:rPr>
          <w:rFonts w:ascii="宋体" w:hAnsi="宋体"/>
          <w:szCs w:val="21"/>
        </w:rPr>
      </w:pPr>
      <w:r>
        <w:rPr>
          <w:rFonts w:hint="eastAsia" w:ascii="宋体" w:hAnsi="宋体"/>
          <w:szCs w:val="21"/>
          <w14:ligatures w14:val="none"/>
        </w:rPr>
        <w:drawing>
          <wp:inline distT="0" distB="0" distL="0" distR="0">
            <wp:extent cx="1752600" cy="2627630"/>
            <wp:effectExtent l="0" t="0" r="0" b="1270"/>
            <wp:docPr id="11308599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5998" name="图片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773066" cy="2658300"/>
                    </a:xfrm>
                    <a:prstGeom prst="rect">
                      <a:avLst/>
                    </a:prstGeom>
                    <a:noFill/>
                  </pic:spPr>
                </pic:pic>
              </a:graphicData>
            </a:graphic>
          </wp:inline>
        </w:drawing>
      </w:r>
      <w:r>
        <w:rPr>
          <w:rFonts w:hint="eastAsia" w:ascii="宋体" w:hAnsi="宋体"/>
          <w:szCs w:val="21"/>
        </w:rPr>
        <w:t xml:space="preserve"> </w:t>
      </w:r>
      <w:r>
        <w:rPr>
          <w:rFonts w:hint="eastAsia" w:ascii="宋体" w:hAnsi="宋体"/>
          <w:szCs w:val="21"/>
          <w14:ligatures w14:val="none"/>
        </w:rPr>
        <w:drawing>
          <wp:inline distT="0" distB="0" distL="0" distR="0">
            <wp:extent cx="1747520" cy="2620010"/>
            <wp:effectExtent l="0" t="0" r="5080" b="8890"/>
            <wp:docPr id="17138962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96215" name="图片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754157" cy="2629951"/>
                    </a:xfrm>
                    <a:prstGeom prst="rect">
                      <a:avLst/>
                    </a:prstGeom>
                    <a:noFill/>
                  </pic:spPr>
                </pic:pic>
              </a:graphicData>
            </a:graphic>
          </wp:inline>
        </w:drawing>
      </w:r>
    </w:p>
    <w:p>
      <w:pPr>
        <w:pStyle w:val="24"/>
      </w:pPr>
      <w:bookmarkStart w:id="6" w:name="_Toc159845630"/>
      <w:r>
        <w:rPr>
          <w:rFonts w:hint="eastAsia"/>
        </w:rPr>
        <w:t>身着景颇族服饰的石梯村村民</w:t>
      </w:r>
      <w:bookmarkEnd w:id="6"/>
    </w:p>
    <w:p>
      <w:pPr>
        <w:pStyle w:val="4"/>
      </w:pPr>
      <w:bookmarkStart w:id="7" w:name="_Toc159845631"/>
      <w:r>
        <w:rPr>
          <w:rFonts w:hint="eastAsia"/>
        </w:rPr>
        <w:t>政策利好</w:t>
      </w:r>
      <w:bookmarkEnd w:id="7"/>
    </w:p>
    <w:p>
      <w:pPr>
        <w:pStyle w:val="19"/>
        <w:spacing w:before="156" w:after="156"/>
        <w:ind w:firstLine="480"/>
        <w:jc w:val="left"/>
        <w:rPr>
          <w:rFonts w:hint="eastAsia"/>
        </w:rPr>
      </w:pPr>
      <w:r>
        <w:rPr>
          <w:rFonts w:hint="eastAsia"/>
        </w:rPr>
        <w:t>在石梯村的观鸟产业发展中，党和政府的政策支持起到了关键性的作用。自2018年习近平总书记提出“绿水青山就是金山银山”的发展理念以来，盈江县紧跟党中央的决策导向，积极推动石梯村及其周边地区的绿色产业发展，力求实现生态与经济发展的和谐共进。通过党委和政府的主动调研，石梯村的观鸟资源优势得到了有效发掘，学习了腾冲百花岭等地的观鸟产业发展经验，为石梯村产业的发展提供了政策保障和实际指导。</w:t>
      </w:r>
    </w:p>
    <w:p>
      <w:pPr>
        <w:pStyle w:val="19"/>
        <w:spacing w:before="156" w:after="156"/>
        <w:ind w:firstLine="480"/>
        <w:jc w:val="left"/>
        <w:rPr>
          <w:rFonts w:hint="eastAsia"/>
        </w:rPr>
      </w:pPr>
      <w:r>
        <w:rPr>
          <w:rFonts w:hint="eastAsia"/>
        </w:rPr>
        <w:t>为了具体推动观鸟经济的发展，盈江县在石梯村设立了观鸟合作社，并建设了集体客栈，利用村集体经济的力量，动员整个雪梨村区域集中资源优势，共同推动石梯村观鸟经济的繁荣。此外，盈江县还专门为石梯村定制了发展计划——“中国犀鸟第一村”的规划，旨在鼓励和引导当地居民学习先进地区的发展经验，特别是在生态旅游和观鸟产业上的成功实践，从而推动当地经济的绿色可持续发展。</w:t>
      </w:r>
    </w:p>
    <w:p>
      <w:pPr>
        <w:pStyle w:val="19"/>
        <w:spacing w:before="156" w:after="156"/>
        <w:ind w:firstLine="480"/>
        <w:jc w:val="left"/>
        <w:rPr>
          <w:rFonts w:hint="eastAsia"/>
        </w:rPr>
      </w:pPr>
      <w:r>
        <w:rPr>
          <w:rFonts w:hint="eastAsia"/>
        </w:rPr>
        <w:t>县政府特地邀请了腾冲百花岭的知名鸟导侯体国来石梯村建设鸟塘，并进行现场示范，许多村民开始转变角色，成为鸟导，通过提供观鸟服务获得收入，同时也积极参与到生态保护中。此外，镇政府干部的积极下村服务，帮助村民巩固脱贫成果，宣讲国家政策，并针对村民的实际需要提供帮助，这些措施不仅加强了与村民的联系，也为观鸟产业的发展提供了坚实的社会支持。</w:t>
      </w:r>
    </w:p>
    <w:p>
      <w:pPr>
        <w:pStyle w:val="19"/>
        <w:spacing w:before="156" w:after="156"/>
        <w:ind w:firstLine="480"/>
        <w:jc w:val="left"/>
        <w:rPr>
          <w:rFonts w:ascii="宋体" w:hAnsi="宋体" w:cs="宋体"/>
          <w:szCs w:val="21"/>
        </w:rPr>
      </w:pPr>
      <w:r>
        <w:rPr>
          <w:rFonts w:hint="eastAsia"/>
        </w:rPr>
        <w:t>通过一系列的政策支持和实际行动，石梯村的观鸟产业得到了迅速发展，为生态旅游的可持续发展树立了良好的示范，展现了绿色发展理念在实际操作中的有效性和前瞻性。这些经验对于其他拥有类似资源优势的地区来说，无疑具有重要的借鉴和启示意义，</w:t>
      </w:r>
      <w:r>
        <w:rPr>
          <w:rFonts w:hint="eastAsia"/>
          <w:lang w:val="en-US" w:eastAsia="zh-CN"/>
        </w:rPr>
        <w:t>能够</w:t>
      </w:r>
      <w:r>
        <w:rPr>
          <w:rFonts w:hint="eastAsia"/>
        </w:rPr>
        <w:t>为推动绿色产业发展和生态文明建设提供宝贵的实践经验。</w:t>
      </w:r>
    </w:p>
    <w:p>
      <w:pPr>
        <w:pStyle w:val="3"/>
        <w:spacing w:before="156" w:after="156"/>
      </w:pPr>
      <w:bookmarkStart w:id="8" w:name="_Toc159845632"/>
      <w:r>
        <w:rPr>
          <w:rFonts w:hint="eastAsia"/>
        </w:rPr>
        <w:t>石梯村产业发展的劣势</w:t>
      </w:r>
      <w:bookmarkEnd w:id="8"/>
    </w:p>
    <w:p>
      <w:pPr>
        <w:pStyle w:val="4"/>
        <w:numPr>
          <w:ilvl w:val="0"/>
          <w:numId w:val="8"/>
        </w:numPr>
        <w:spacing w:before="156" w:after="156"/>
      </w:pPr>
      <w:bookmarkStart w:id="9" w:name="_Toc159845633"/>
      <w:r>
        <w:rPr>
          <w:rFonts w:hint="eastAsia"/>
        </w:rPr>
        <w:t>交通不便</w:t>
      </w:r>
      <w:bookmarkEnd w:id="9"/>
    </w:p>
    <w:p>
      <w:pPr>
        <w:spacing w:before="156" w:after="156"/>
        <w:ind w:firstLine="480" w:firstLineChars="200"/>
        <w:jc w:val="left"/>
        <w:rPr>
          <w:rFonts w:hint="eastAsia" w:ascii="宋体" w:hAnsi="宋体" w:cs="宋体"/>
          <w:szCs w:val="21"/>
        </w:rPr>
      </w:pPr>
      <w:r>
        <w:rPr>
          <w:rFonts w:hint="eastAsia" w:ascii="宋体" w:hAnsi="宋体" w:cs="宋体"/>
          <w:szCs w:val="21"/>
        </w:rPr>
        <w:t>在调研过程中，笔者最先注意到的问题就是交通条件的不便。交通条件问题，对于石梯村的产业发展确实构成了显著障碍。交通的不便利性不仅影响了农业生产资料的获取和农产品的销售，限制了农业生产的效率和效益，也对旅游产业的发展构成了重大挑战。尤其是对于想要借助自然景观和丰富生物多样性吸引游客的石梯村来说，交通的便捷性是吸引旅游者的前提之一。</w:t>
      </w:r>
    </w:p>
    <w:p>
      <w:pPr>
        <w:spacing w:before="156" w:after="156"/>
        <w:ind w:firstLine="480" w:firstLineChars="200"/>
        <w:jc w:val="left"/>
        <w:rPr>
          <w:rFonts w:hint="eastAsia" w:ascii="宋体" w:hAnsi="宋体" w:cs="宋体"/>
          <w:szCs w:val="21"/>
        </w:rPr>
      </w:pPr>
      <w:r>
        <w:rPr>
          <w:rFonts w:hint="eastAsia" w:ascii="宋体" w:hAnsi="宋体" w:cs="宋体"/>
          <w:szCs w:val="21"/>
        </w:rPr>
        <w:t>对于农业产业而言，山路的崎岖和交通的不便直接影响了农产品的流通和销售，使得村民们在农业生产中面临着较大的物流成本和销售难题。这种情况下，石梯村需要探索适应当地实际情况的农业发展模式，比如发展适合当地生态环境的特色高值农产品，通过提高产品的附加值来弥补物流成本的增加。同时，可以探索建立合作社等形式，集中力量打通销售渠道，通过电商平台等现代销售方式拓宽销售市场。</w:t>
      </w:r>
    </w:p>
    <w:p>
      <w:pPr>
        <w:spacing w:before="156" w:after="156"/>
        <w:ind w:firstLine="480" w:firstLineChars="200"/>
        <w:jc w:val="left"/>
        <w:rPr>
          <w:rFonts w:hint="eastAsia" w:ascii="宋体" w:hAnsi="宋体" w:cs="宋体"/>
          <w:szCs w:val="21"/>
        </w:rPr>
      </w:pPr>
      <w:r>
        <w:rPr>
          <w:rFonts w:hint="eastAsia" w:ascii="宋体" w:hAnsi="宋体" w:cs="宋体"/>
          <w:szCs w:val="21"/>
          <w:lang w:val="en-US" w:eastAsia="zh-CN"/>
        </w:rPr>
        <w:t>另一方面，</w:t>
      </w:r>
      <w:r>
        <w:rPr>
          <w:rFonts w:hint="eastAsia" w:ascii="宋体" w:hAnsi="宋体" w:cs="宋体"/>
          <w:szCs w:val="21"/>
        </w:rPr>
        <w:t>对于旅游产业的发展，交通条件的改善显得</w:t>
      </w:r>
      <w:r>
        <w:rPr>
          <w:rFonts w:hint="eastAsia" w:ascii="宋体" w:hAnsi="宋体" w:cs="宋体"/>
          <w:szCs w:val="21"/>
          <w:lang w:val="en-US" w:eastAsia="zh-CN"/>
        </w:rPr>
        <w:t>更</w:t>
      </w:r>
      <w:r>
        <w:rPr>
          <w:rFonts w:hint="eastAsia" w:ascii="宋体" w:hAnsi="宋体" w:cs="宋体"/>
          <w:szCs w:val="21"/>
        </w:rPr>
        <w:t>为迫切。提升道路质量，改善道路交通条件，是吸引游客的关键因素之一。政府和相关部门可以考虑投入更多资源，优先改善通往石梯村的主要道路，同时开发安全可靠的公共交通服务，降低游客到达的难度。除了物理交通条件的改善外，还可以通过提供详尽的交通指南、设置旅游专线车辆等方式，为游客提供便利。</w:t>
      </w:r>
    </w:p>
    <w:p>
      <w:pPr>
        <w:spacing w:before="156" w:after="156"/>
        <w:ind w:firstLine="480" w:firstLineChars="200"/>
        <w:jc w:val="left"/>
        <w:rPr>
          <w:rFonts w:hint="eastAsia" w:ascii="宋体" w:hAnsi="宋体" w:cs="宋体"/>
          <w:szCs w:val="21"/>
        </w:rPr>
      </w:pPr>
      <w:r>
        <w:rPr>
          <w:rFonts w:hint="eastAsia" w:ascii="宋体" w:hAnsi="宋体" w:cs="宋体"/>
          <w:szCs w:val="21"/>
        </w:rPr>
        <w:t>此外，利用现代通信技术提升旅游服务质量也是一个方向，比如通过建立石梯村旅游官方网站或APP，提供在线咨询、路线规划、预定服务等，以数字化手段弥补物理交通的不足。同时，可以探索与周边其他旅游景点的联合推广，通过打包旅游产品的方式，共享交通资源，提升整个区域的旅游吸引力。</w:t>
      </w:r>
    </w:p>
    <w:p>
      <w:pPr>
        <w:pStyle w:val="4"/>
      </w:pPr>
      <w:bookmarkStart w:id="10" w:name="_Toc159845634"/>
      <w:r>
        <w:rPr>
          <w:rFonts w:hint="eastAsia"/>
        </w:rPr>
        <w:t>人才缺乏</w:t>
      </w:r>
      <w:bookmarkEnd w:id="10"/>
    </w:p>
    <w:p>
      <w:pPr>
        <w:spacing w:before="156" w:after="156"/>
        <w:ind w:firstLine="480" w:firstLineChars="200"/>
        <w:jc w:val="left"/>
        <w:rPr>
          <w:rFonts w:hint="eastAsia" w:ascii="宋体" w:hAnsi="宋体"/>
        </w:rPr>
      </w:pPr>
      <w:r>
        <w:rPr>
          <w:rFonts w:hint="eastAsia" w:ascii="宋体" w:hAnsi="宋体"/>
        </w:rPr>
        <w:t>在对雪梨村干部进行采访时，村党支部的干部坦言，他们的文化水平相对较低，且意识不够成熟，</w:t>
      </w:r>
      <w:r>
        <w:rPr>
          <w:rFonts w:hint="eastAsia" w:ascii="宋体" w:hAnsi="宋体"/>
          <w:lang w:eastAsia="zh-CN"/>
        </w:rPr>
        <w:t xml:space="preserve"> </w:t>
      </w:r>
      <w:r>
        <w:rPr>
          <w:rFonts w:hint="eastAsia" w:ascii="宋体" w:hAnsi="宋体"/>
        </w:rPr>
        <w:t>迫切需要更多专业人士的帮助，共同利用该地区的自然资源来推动经济发展。同时，在石梯村的调研中，支队成员们发现，该地区的村民普遍受教育水平不高。小学肄业、初中肄业的情况较为普遍，大部分村民连续接受九年义务教育的情况并不常见，甚至读完中专或大专的居民数量也寥寥无几。与此同时，石梯村的教育资源相对匮乏，村内仅设有一所幼儿园，而想要就读小学或初中的村民则必须前往位于太平镇芒允村的学校。</w:t>
      </w:r>
    </w:p>
    <w:p>
      <w:pPr>
        <w:spacing w:before="156" w:after="156"/>
        <w:ind w:firstLine="480" w:firstLineChars="200"/>
        <w:jc w:val="left"/>
        <w:rPr>
          <w:rFonts w:hint="eastAsia" w:ascii="宋体" w:hAnsi="宋体"/>
        </w:rPr>
      </w:pPr>
      <w:r>
        <w:rPr>
          <w:rFonts w:hint="eastAsia" w:ascii="宋体" w:hAnsi="宋体"/>
        </w:rPr>
        <w:t>这种普遍存在的教育程度低下的情况，无疑对石梯村村民的经济产业经营能力、意识和未来发展前景产生了不小的影响。例如，村民们希望通过经营鸟塘、为观鸟游客提供食宿等方式来发展观鸟产业，但由于村上缺乏经验和专业人士进行统一规划，导致合作社的运行十分困难。同时，对景区路线规划设计、景区内旅游资源深度开发、景区品牌打造等方面的管理工作也缺乏专业人才支持，这直接影响了石梯村旅游业的发展。由于村上无法培养出足够的专业人才，外界人才引进的难度也较大，这使得管理人才和旅游从业者的缺乏成为制约石梯村旅游业发展的重要因素。</w:t>
      </w:r>
    </w:p>
    <w:p>
      <w:pPr>
        <w:spacing w:before="156" w:after="156"/>
        <w:ind w:firstLine="480" w:firstLineChars="200"/>
        <w:jc w:val="left"/>
        <w:rPr>
          <w:rFonts w:ascii="宋体" w:hAnsi="宋体"/>
        </w:rPr>
      </w:pPr>
      <w:r>
        <w:rPr>
          <w:rFonts w:hint="eastAsia" w:ascii="宋体" w:hAnsi="宋体"/>
        </w:rPr>
        <w:t>除了旅游业外，人才的匮乏也在农业领域展现出明显劣势。例如，尽管石梯村周边种植着可见的药材如石斛，但村民缺乏将其经营成产业的意识，表现出对林下采集业潜力的未充分挖掘。此外，尽管有一些劳动密集型的产业如咖啡园，但由于人力不足的限制，导致其在石梯村的发展受到了很大的制约。石梯村普遍存在</w:t>
      </w:r>
      <w:r>
        <w:rPr>
          <w:rFonts w:hint="eastAsia" w:ascii="宋体" w:hAnsi="宋体"/>
          <w:lang w:eastAsia="zh-CN"/>
        </w:rPr>
        <w:t>的</w:t>
      </w:r>
      <w:r>
        <w:rPr>
          <w:rFonts w:hint="eastAsia" w:ascii="宋体" w:hAnsi="宋体"/>
        </w:rPr>
        <w:t>教育水平低下和人才匮乏的问题，不仅影响了当地经济产业的发展，也制约了社会和谐稳定的实现。有必要加大对该地区教育资源的投入，并积极引进外部人才，以促进石梯村经济产业的多元发展。</w:t>
      </w:r>
    </w:p>
    <w:p>
      <w:pPr>
        <w:pStyle w:val="4"/>
      </w:pPr>
      <w:bookmarkStart w:id="11" w:name="_Toc159845635"/>
      <w:r>
        <w:rPr>
          <w:rFonts w:hint="eastAsia"/>
        </w:rPr>
        <w:t>经济落后</w:t>
      </w:r>
      <w:bookmarkEnd w:id="11"/>
    </w:p>
    <w:p>
      <w:pPr>
        <w:spacing w:before="156" w:after="156"/>
        <w:ind w:firstLine="480" w:firstLineChars="200"/>
        <w:jc w:val="left"/>
        <w:rPr>
          <w:rFonts w:hint="eastAsia" w:ascii="宋体" w:hAnsi="宋体"/>
        </w:rPr>
      </w:pPr>
      <w:r>
        <w:rPr>
          <w:rFonts w:hint="eastAsia" w:ascii="宋体" w:hAnsi="宋体"/>
        </w:rPr>
        <w:t>经济落后也是限制了石梯村产业进一步发展的重要因素。由于经济基础薄弱，石梯村在村内基础设施建设方面资金短缺，这不仅包括村内的交通设施，也涵盖了景区服务硬件设施的建设与升级。资金的缺乏进一步延伸到了对专业人才的雇佣上，例如缺少资金聘请专业人士进行旅游规划设计、市场宣传等关键环节的工作。这种经济上的落后状态，直接限制了石梯村提升其旅游服务能力的可能性，导致无法提供高品质的住宿服务，酒店和客栈的管理也显得较为落后。此外，商业服务网点的缺失使得游客和村民购买日常生活物资变得困难，从而在一定程度上阻碍了旅游业的发展和村民生活质量的提升。</w:t>
      </w:r>
    </w:p>
    <w:p>
      <w:pPr>
        <w:spacing w:before="156" w:after="156"/>
        <w:ind w:firstLine="480" w:firstLineChars="200"/>
        <w:jc w:val="left"/>
        <w:rPr>
          <w:rFonts w:hint="eastAsia" w:ascii="宋体" w:hAnsi="宋体"/>
        </w:rPr>
      </w:pPr>
      <w:r>
        <w:rPr>
          <w:rFonts w:hint="eastAsia" w:ascii="宋体" w:hAnsi="宋体"/>
        </w:rPr>
        <w:t>经济的落后还体现在村民个人经济条件上，村民人均收入较低，使他们缺乏足够的资金进行再生产和投资。例如，村民可能有养鸡的想法，但却因为缺乏必要的养殖资金而无法实施；同样，他们可能希望种植作物，但又因为没有资金购买优质种子而受限。这种经济上的困境不仅影响了村民的生活条件，也成为了制约石梯村经济进一步发展的重要障碍。</w:t>
      </w:r>
    </w:p>
    <w:p>
      <w:pPr>
        <w:spacing w:before="156" w:after="156"/>
        <w:ind w:firstLine="480" w:firstLineChars="200"/>
        <w:jc w:val="left"/>
        <w:rPr>
          <w:rFonts w:hint="eastAsia" w:ascii="宋体" w:hAnsi="宋体"/>
        </w:rPr>
      </w:pPr>
      <w:r>
        <w:rPr>
          <w:rFonts w:hint="eastAsia" w:ascii="宋体" w:hAnsi="宋体"/>
        </w:rPr>
        <w:t>为了突破这一困境，石梯村需要通过多方面的努力来改善其经济落后的状况。一方面，可以通过引入外部投资，加强与政府部门、非政府组织和私营企业的合作，为基础设施建设和旅游项目开发提供资金支持。另一方面，村委会和村民可以积极参与培训和学习，提升自身的管理能力和服务水平，增强旅游吸引力。同时，通过发展特色农业和手工艺品等产业，可以创造更多的就业机会，也有助于提升村民的收入水平，从而逐步改善经济落后的现状，为石梯村的可持续发展打下坚实基础。</w:t>
      </w:r>
    </w:p>
    <w:p>
      <w:pPr>
        <w:rPr>
          <w:rFonts w:hint="eastAsia" w:ascii="宋体" w:hAnsi="宋体"/>
        </w:rPr>
      </w:pPr>
      <w:r>
        <w:rPr>
          <w:rFonts w:hint="eastAsia" w:ascii="宋体" w:hAnsi="宋体"/>
        </w:rPr>
        <w:br w:type="page"/>
      </w:r>
    </w:p>
    <w:p>
      <w:pPr>
        <w:pStyle w:val="2"/>
        <w:spacing w:before="156" w:after="156"/>
      </w:pPr>
      <w:bookmarkStart w:id="12" w:name="_Toc159845636"/>
      <w:r>
        <w:rPr>
          <w:rFonts w:hint="eastAsia"/>
        </w:rPr>
        <w:t>盈江县实现共同富裕的对策和建议</w:t>
      </w:r>
      <w:bookmarkEnd w:id="12"/>
    </w:p>
    <w:p>
      <w:pPr>
        <w:spacing w:before="156" w:after="156"/>
        <w:ind w:firstLine="480" w:firstLineChars="200"/>
        <w:jc w:val="left"/>
        <w:rPr>
          <w:rFonts w:ascii="宋体" w:hAnsi="宋体"/>
          <w:szCs w:val="21"/>
        </w:rPr>
      </w:pPr>
      <w:r>
        <w:rPr>
          <w:rFonts w:hint="eastAsia" w:ascii="宋体" w:hAnsi="宋体"/>
          <w:szCs w:val="21"/>
        </w:rPr>
        <w:t>实现共同富裕，是循序渐进发展的过程。推进共同富裕，既要千方百计做大做好“蛋糕”，也要公平合理分好“蛋糕”。做大蛋糕的过程，就是推动盈江县产业进一步发展的过程，在这个过程中，盈江县必须继续坚持绿水青山就是金山银山理念，走绿色发展道路，让生态盈江和腾飞盈江一同绽放。</w:t>
      </w:r>
    </w:p>
    <w:p>
      <w:pPr>
        <w:pStyle w:val="3"/>
        <w:numPr>
          <w:ilvl w:val="0"/>
          <w:numId w:val="9"/>
        </w:numPr>
        <w:spacing w:before="156" w:after="156"/>
      </w:pPr>
      <w:bookmarkStart w:id="13" w:name="_Toc159845637"/>
      <w:r>
        <w:rPr>
          <w:rFonts w:hint="eastAsia"/>
        </w:rPr>
        <w:t>发展特色产业和就业扶持</w:t>
      </w:r>
      <w:bookmarkEnd w:id="13"/>
    </w:p>
    <w:p>
      <w:pPr>
        <w:pStyle w:val="19"/>
        <w:spacing w:before="156" w:after="156"/>
        <w:ind w:firstLine="480"/>
        <w:jc w:val="left"/>
        <w:rPr>
          <w:rFonts w:hint="eastAsia" w:ascii="宋体" w:hAnsi="宋体"/>
          <w:szCs w:val="21"/>
        </w:rPr>
      </w:pPr>
      <w:r>
        <w:rPr>
          <w:rFonts w:hint="eastAsia" w:ascii="宋体" w:hAnsi="宋体"/>
          <w:szCs w:val="21"/>
        </w:rPr>
        <w:t>为了推动盈江产业的发展，必须充分挖掘和利用盈江独特的资源禀赋，结合现有的优势与劣势进行全面考量。在农业方面，政府可以采取措施邀请农业专家向当地农民传授先进的农业知识和技术，从而提升农民整体的素养和生产技能。通过实施作物多样化的种植策略，不仅可以保持土地的生态平衡，还能增加农民的收入来源。例如，在种植坚果树的同时，不忽视林下资源的利用，如采集草药和菌类，实现林地和耕地的立体利用，从而降低市场对单一产品的依赖，提高农业生产的抗风险能力。</w:t>
      </w:r>
    </w:p>
    <w:p>
      <w:pPr>
        <w:pStyle w:val="19"/>
        <w:spacing w:before="156" w:after="156"/>
        <w:ind w:firstLine="480"/>
        <w:jc w:val="left"/>
        <w:rPr>
          <w:rFonts w:ascii="楷体" w:hAnsi="楷体" w:eastAsia="楷体"/>
          <w:szCs w:val="21"/>
        </w:rPr>
      </w:pPr>
      <w:r>
        <w:rPr>
          <w:rFonts w:hint="eastAsia" w:ascii="宋体" w:hAnsi="宋体"/>
          <w:szCs w:val="21"/>
        </w:rPr>
        <w:t>在旅游业的发展上，盈江应充分发挥其生态、历史和民族文化等多重旅游资源的优势，开发符合不同目标群体需求的旅游产品，丰富游客的旅游体验。例如，在观鸟或自然徒步路线上，可以设置多个观赏和休息点，让游客在欣赏自然美景的同时，也能深入了解当地的文化和历史，增强旅游的吸引力。此外，通过提供多样化的旅游服务和高质量的接待设施，可以有效延长游客在盈江的停留时间，从而促进旅游消费和提升旅游业的综合竞争力。通过这样的发展策略，不仅可以最大程度发挥盈江自身的资源优势，同时也能有效地克服现有的发展劣势，为盈江县的经济发展注入新的活力，促进产业的全面提升和地区经济的持续健康发展。</w:t>
      </w:r>
    </w:p>
    <w:p>
      <w:pPr>
        <w:pStyle w:val="3"/>
        <w:spacing w:before="156" w:after="156"/>
      </w:pPr>
      <w:bookmarkStart w:id="14" w:name="_Toc159845638"/>
      <w:r>
        <w:rPr>
          <w:rFonts w:hint="eastAsia"/>
        </w:rPr>
        <w:t>深化生态保护和环境治理</w:t>
      </w:r>
      <w:bookmarkEnd w:id="14"/>
    </w:p>
    <w:p>
      <w:pPr>
        <w:spacing w:before="156" w:after="156"/>
        <w:ind w:firstLine="480" w:firstLineChars="200"/>
        <w:jc w:val="left"/>
        <w:rPr>
          <w:rFonts w:hint="eastAsia" w:ascii="宋体" w:hAnsi="宋体"/>
          <w:szCs w:val="21"/>
        </w:rPr>
      </w:pPr>
      <w:r>
        <w:rPr>
          <w:rFonts w:hint="eastAsia" w:ascii="宋体" w:hAnsi="宋体"/>
          <w:szCs w:val="21"/>
        </w:rPr>
        <w:t>盈江的环境优势是其宝贵的自然资产，对此的保护和管理不仅是当务之急，也是关乎长远发展的战略部署。确实，为了保障这一优势能够得到长期的维持和利用，需要进一步强化自然资源的保护措施，积极实施生态环境治理项目，以确保生态系统的稳定和生物多样性的保护。农业面源污染的防治是环境保护的重要内容之一。通过推广环保型农业技术和实践，如合理施肥、使用生物农药等，可以有效减少农业生产对水体和土壤的污染，促进农业生产与环境保护的和谐共生。</w:t>
      </w:r>
    </w:p>
    <w:p>
      <w:pPr>
        <w:spacing w:before="156" w:after="156"/>
        <w:ind w:firstLine="480" w:firstLineChars="200"/>
        <w:jc w:val="left"/>
        <w:rPr>
          <w:rFonts w:hint="eastAsia" w:ascii="宋体" w:hAnsi="宋体"/>
          <w:szCs w:val="21"/>
        </w:rPr>
      </w:pPr>
      <w:r>
        <w:rPr>
          <w:rFonts w:hint="eastAsia" w:ascii="宋体" w:hAnsi="宋体"/>
          <w:szCs w:val="21"/>
        </w:rPr>
        <w:t>对于生态保护区的管理，持续的监测是保障其不受人类生产生活活动危害的关键。这不仅包括对生物种群、生态系统结构以及生态服务功能的定期监测，也包括对可能导致生态破坏的人类活动进行严格的管控，确保任何形式的开发和利用都在不破坏生态平衡的前提下进行。加强对河流、湖泊的保护不仅有助于保持水体的清洁，也是维护生态多样性、保障人饮水安全的重要措施。此外，严格控制工业排放，对工业污染源实施严格的排放标准和监管，减少工业活动对环境的负面影响。</w:t>
      </w:r>
    </w:p>
    <w:p>
      <w:pPr>
        <w:spacing w:before="156" w:after="156"/>
        <w:ind w:firstLine="480" w:firstLineChars="200"/>
        <w:jc w:val="left"/>
        <w:rPr>
          <w:rFonts w:ascii="楷体" w:hAnsi="楷体" w:eastAsia="楷体"/>
          <w:szCs w:val="21"/>
        </w:rPr>
      </w:pPr>
      <w:r>
        <w:rPr>
          <w:rFonts w:hint="eastAsia" w:ascii="宋体" w:hAnsi="宋体"/>
          <w:szCs w:val="21"/>
        </w:rPr>
        <w:t>对于生态保护区的管理不仅可以有效地保护盈江的自然环境，也为盈江乃至更广泛地区的可持续发展奠定坚实的基础。环境保护与经济社会发展并非不可调和的矛盾，通过科学合理的管理和治理，可以实现经济、社会与环境的协调发展。</w:t>
      </w:r>
    </w:p>
    <w:p>
      <w:pPr>
        <w:pStyle w:val="3"/>
        <w:spacing w:before="156" w:after="156"/>
      </w:pPr>
      <w:bookmarkStart w:id="15" w:name="_Toc159845639"/>
      <w:r>
        <w:rPr>
          <w:rFonts w:hint="eastAsia"/>
        </w:rPr>
        <w:t>健全社会保障体系和基本公共服务</w:t>
      </w:r>
      <w:bookmarkEnd w:id="15"/>
    </w:p>
    <w:p>
      <w:pPr>
        <w:pStyle w:val="19"/>
        <w:spacing w:before="156" w:after="156"/>
        <w:ind w:firstLine="480"/>
        <w:jc w:val="left"/>
        <w:rPr>
          <w:rFonts w:hint="eastAsia" w:ascii="宋体" w:hAnsi="宋体" w:cs="宋体"/>
          <w:szCs w:val="21"/>
        </w:rPr>
      </w:pPr>
      <w:r>
        <w:rPr>
          <w:rFonts w:hint="eastAsia" w:ascii="宋体" w:hAnsi="宋体" w:cs="宋体"/>
          <w:szCs w:val="21"/>
        </w:rPr>
        <w:t>加强和完善盈江的基本公共服务，特别是在教育和医疗领域，对于提升盈江人民的生活质量及推动地区的长期可持续发展具有至关重要的作用。当前，盈江面临的一个显著挑战是普遍的教育程度不高，这直接限制了人民提升生活水平的能力和意愿。确实，教育是培养人才、提高全民素质的关键环节，而人才的培养和引进是推动产业发展和社会进步的基础。</w:t>
      </w:r>
    </w:p>
    <w:p>
      <w:pPr>
        <w:pStyle w:val="19"/>
        <w:spacing w:before="156" w:after="156"/>
        <w:ind w:firstLine="480"/>
        <w:jc w:val="left"/>
        <w:rPr>
          <w:rFonts w:ascii="宋体" w:hAnsi="宋体" w:cs="宋体"/>
          <w:szCs w:val="21"/>
        </w:rPr>
      </w:pPr>
      <w:r>
        <w:rPr>
          <w:rFonts w:hint="eastAsia" w:ascii="宋体" w:hAnsi="宋体" w:cs="宋体"/>
          <w:szCs w:val="21"/>
        </w:rPr>
        <w:t>作为一个少数民族聚集的边境城市，盈江拥有广阔的农村地区和众多的农村少数民族人口。在这样的背景下，促进城乡协调发展，实现共同富裕，不仅是一个战略选择，更是盈江发展的内在要求。这需要政府在政策制定和资源分配上注重平衡，加大对农村地区的支持力度，优化城乡资源的配置和流动。例如，通过加工和深加工提升农产品的附加值，延伸产业链，促进农村产业的多元化发展，这不仅可以增加农民的收入，也有助于缩小城乡之间的发展差距。</w:t>
      </w:r>
    </w:p>
    <w:p>
      <w:pPr>
        <w:pStyle w:val="3"/>
        <w:spacing w:before="156" w:after="156"/>
      </w:pPr>
      <w:bookmarkStart w:id="16" w:name="_Toc159845640"/>
      <w:r>
        <w:t>促进城乡协调发展</w:t>
      </w:r>
      <w:bookmarkEnd w:id="16"/>
    </w:p>
    <w:p>
      <w:pPr>
        <w:spacing w:before="156" w:after="156"/>
        <w:ind w:firstLine="480" w:firstLineChars="200"/>
        <w:jc w:val="left"/>
        <w:rPr>
          <w:rFonts w:ascii="宋体" w:hAnsi="宋体"/>
          <w:szCs w:val="21"/>
        </w:rPr>
      </w:pPr>
      <w:r>
        <w:rPr>
          <w:rFonts w:hint="eastAsia" w:ascii="宋体" w:hAnsi="宋体"/>
          <w:szCs w:val="21"/>
        </w:rPr>
        <w:t>盈江作为少数民族聚居的边境城市，下辖的民族农村面积广大，农村少数民族人口众多，促进城乡协调发展，是盈江实现共同富裕题中应有之义。</w:t>
      </w:r>
      <w:r>
        <w:rPr>
          <w:rFonts w:ascii="宋体" w:hAnsi="宋体"/>
          <w:szCs w:val="21"/>
        </w:rPr>
        <w:t>注重城乡协调发展，加大对农村地区的扶持力度</w:t>
      </w:r>
      <w:r>
        <w:rPr>
          <w:rFonts w:hint="eastAsia" w:ascii="宋体" w:hAnsi="宋体"/>
          <w:szCs w:val="21"/>
        </w:rPr>
        <w:t>，</w:t>
      </w:r>
      <w:r>
        <w:rPr>
          <w:rFonts w:ascii="宋体" w:hAnsi="宋体"/>
          <w:szCs w:val="21"/>
        </w:rPr>
        <w:t>促进城乡之间的资源流动和优势互补。</w:t>
      </w:r>
      <w:r>
        <w:rPr>
          <w:rFonts w:hint="eastAsia" w:ascii="宋体" w:hAnsi="宋体"/>
          <w:szCs w:val="21"/>
        </w:rPr>
        <w:t>比如，农村物产丰富，但销售的都是初级农产品。山上的农村发展工业条件受限，但可以和居于平坦地区的城市合作，延长农产品的产业链，提高附加值，顺畅产业上下游之间的联系，让农村和城市实现共赢。</w:t>
      </w:r>
    </w:p>
    <w:p>
      <w:pPr>
        <w:pStyle w:val="3"/>
        <w:spacing w:before="156" w:after="156"/>
      </w:pPr>
      <w:bookmarkStart w:id="17" w:name="_Toc159845641"/>
      <w:r>
        <w:t>加强宣传引导</w:t>
      </w:r>
      <w:bookmarkEnd w:id="17"/>
    </w:p>
    <w:p>
      <w:pPr>
        <w:pStyle w:val="19"/>
        <w:spacing w:before="156" w:after="156"/>
        <w:ind w:firstLine="480"/>
        <w:jc w:val="left"/>
        <w:rPr>
          <w:rFonts w:ascii="宋体" w:hAnsi="宋体" w:cs="宋体"/>
          <w:szCs w:val="21"/>
        </w:rPr>
      </w:pPr>
      <w:bookmarkStart w:id="18" w:name="_Toc159845642"/>
      <w:r>
        <w:rPr>
          <w:rFonts w:hint="eastAsia" w:ascii="宋体" w:hAnsi="宋体" w:cs="宋体"/>
          <w:szCs w:val="21"/>
        </w:rPr>
        <w:t>加强宣传教育，提高全民的环保意识，对于构建和谐的生态环境同样至关重要。通过开展环保知识的讲座、组织志愿者活动等形式，引导社会各界参与到环境保护中来，不仅可以促进公众对环境保护重要性的认识，也能够营造出一种全社会共同关注和参与生态环境保护的良好氛围。在这种氛围中，人们将更加意识到保护环境的重要性，从而在生产生活中主动采取措施，减少对环境的破坏</w:t>
      </w:r>
      <w:r>
        <w:rPr>
          <w:rFonts w:hint="eastAsia" w:ascii="宋体" w:hAnsi="宋体" w:cs="宋体"/>
          <w:szCs w:val="21"/>
          <w:lang w:eastAsia="zh-CN"/>
        </w:rPr>
        <w:t>，</w:t>
      </w:r>
      <w:r>
        <w:rPr>
          <w:rFonts w:hint="eastAsia" w:ascii="宋体" w:hAnsi="宋体" w:cs="宋体"/>
          <w:szCs w:val="21"/>
          <w:lang w:val="en-US" w:eastAsia="zh-CN"/>
        </w:rPr>
        <w:t>从而</w:t>
      </w:r>
      <w:r>
        <w:rPr>
          <w:rFonts w:hint="eastAsia" w:ascii="宋体" w:hAnsi="宋体" w:cs="宋体"/>
          <w:szCs w:val="21"/>
        </w:rPr>
        <w:t>可以在教育和医疗等基本公共服务领域取得显著进步，在环保意识的提升、城乡协调发展等方面取得实质性成果，为盈江的可持续发展奠定坚实的基础。</w:t>
      </w:r>
    </w:p>
    <w:p>
      <w:pPr>
        <w:pStyle w:val="2"/>
        <w:spacing w:before="156" w:after="156"/>
      </w:pPr>
      <w:r>
        <w:rPr>
          <w:rFonts w:hint="eastAsia"/>
        </w:rPr>
        <w:t>结语</w:t>
      </w:r>
      <w:bookmarkEnd w:id="18"/>
    </w:p>
    <w:p>
      <w:pPr>
        <w:spacing w:before="156" w:after="156"/>
        <w:ind w:firstLine="420"/>
        <w:jc w:val="left"/>
        <w:rPr>
          <w:rFonts w:hint="eastAsia" w:ascii="宋体" w:hAnsi="宋体"/>
          <w:szCs w:val="21"/>
          <w14:ligatures w14:val="none"/>
        </w:rPr>
      </w:pPr>
      <w:r>
        <w:rPr>
          <w:rFonts w:hint="eastAsia" w:ascii="宋体" w:hAnsi="宋体"/>
          <w:szCs w:val="21"/>
          <w14:ligatures w14:val="none"/>
        </w:rPr>
        <w:t>在脱贫攻坚战取得全面胜利的当下，对盈江县来说，巩固脱贫成果、防止返贫以及进一步推动区域内共同富裕具有非凡的意义。盈江县在产业发展方面所取得的成就，充分展现了“绿水青山就是金山银山”的理念在促进全面脱贫中的重要作用。在这个基础上，盈江县未来的发展，必须在深入分析和充分理解自身优势与劣势的基础上，坚持不懈地贯彻习近平新时代中国特色社会主义思想，持续推进理论与实践的深度融合。</w:t>
      </w:r>
    </w:p>
    <w:p>
      <w:pPr>
        <w:spacing w:before="156" w:after="156"/>
        <w:ind w:firstLine="420"/>
        <w:jc w:val="left"/>
        <w:rPr>
          <w:rFonts w:hint="eastAsia" w:ascii="宋体" w:hAnsi="宋体"/>
          <w:szCs w:val="21"/>
          <w14:ligatures w14:val="none"/>
        </w:rPr>
      </w:pPr>
      <w:r>
        <w:rPr>
          <w:rFonts w:hint="eastAsia" w:ascii="宋体" w:hAnsi="宋体"/>
          <w:szCs w:val="21"/>
          <w14:ligatures w14:val="none"/>
        </w:rPr>
        <w:t>盈江县需要继续扬长避短，推陈出新，积极探索符合自身实际的发展路径。这不仅涉及到精准识别和充分发挥地方特色产业的潜力，也包括通过创新驱动发展模式，加强和完善基础设施建设，提高公共服务水平，尤其是在教育、医疗等关键领域，以提升全民的生活质量和幸福感。此外，盈江县还需积极落实因地施策的原则，通过制定和实施一系列具有针对性的政策措施，有效激发各类市场主体的活力，促进产业升级和经济结构优化。</w:t>
      </w:r>
    </w:p>
    <w:p>
      <w:pPr>
        <w:spacing w:before="156" w:after="156"/>
        <w:ind w:firstLine="480" w:firstLineChars="200"/>
        <w:jc w:val="left"/>
        <w:rPr>
          <w:rFonts w:hint="eastAsia" w:ascii="宋体" w:hAnsi="宋体"/>
          <w:szCs w:val="21"/>
          <w14:ligatures w14:val="none"/>
        </w:rPr>
      </w:pPr>
      <w:r>
        <w:rPr>
          <w:rFonts w:hint="eastAsia" w:cs="Times New Roman"/>
          <w:szCs w:val="21"/>
        </w:rPr>
        <w:t>近年来，盈江县政府和当地社区积极探索利用其自然资源优势，努力转变经济发展模式。通过推动生态保护和可持续发展，盈江县成功地将旧有的习俗转变为新的理念，比如将曾经的砍树人转变为护林人，狩猎者变为护鸟志愿者，贫困人口通过成为鸟类观察导游找到了新的生计方式，贫困村落也借助生态旅游发展成为了旅游村。这一系列的转变不</w:t>
      </w:r>
      <w:bookmarkStart w:id="19" w:name="_GoBack"/>
      <w:bookmarkEnd w:id="19"/>
      <w:r>
        <w:rPr>
          <w:rFonts w:hint="eastAsia" w:cs="Times New Roman"/>
          <w:szCs w:val="21"/>
        </w:rPr>
        <w:t>仅促进了经济的增长，还保护了当地的生态环境，展现了一条兼顾生态保护和经济发展的绿色发展新道路。</w:t>
      </w:r>
    </w:p>
    <w:p>
      <w:pPr>
        <w:spacing w:before="156" w:after="156"/>
        <w:ind w:firstLine="420"/>
        <w:jc w:val="left"/>
        <w:rPr>
          <w:rFonts w:hint="eastAsia" w:ascii="宋体" w:hAnsi="宋体"/>
          <w:szCs w:val="21"/>
          <w14:ligatures w14:val="none"/>
        </w:rPr>
      </w:pPr>
      <w:r>
        <w:rPr>
          <w:rFonts w:hint="eastAsia" w:ascii="宋体" w:hAnsi="宋体"/>
          <w:szCs w:val="21"/>
          <w14:ligatures w14:val="none"/>
        </w:rPr>
        <w:t>为了确保脱贫成果的可持续性，盈江县还需要在保护好绿水青山的同时，积极探索实现生态环境保护与经济发展的双赢策略，不断提高地区的综合竞争力。通过这样一系列的努力，盈江县不仅能够巩固脱贫攻坚战的胜利成果，更能在新的历史起点上，为实现全域共同富裕和建设社会主义现代化国家贡献力量，砥砺前行。回顾盈江县产业发展的历程，绿水金山就是金山银山的理念在全面脱贫中发挥了重要作用。盈江下一步发展，仍然需要充分了解自身优劣势后，坚持正确的方针不动摇，坚持习近平新时代中国特色社会主义思想的指导，扬长避短，推陈出新，因地施策，砥砺前行。</w:t>
      </w:r>
    </w:p>
    <w:p>
      <w:pPr>
        <w:pStyle w:val="24"/>
        <w:rPr>
          <w:rFonts w:hint="eastAsia"/>
        </w:rPr>
      </w:pPr>
      <w:r>
        <w:br w:type="page"/>
      </w:r>
    </w:p>
    <w:p>
      <w:pPr>
        <w:pStyle w:val="10"/>
        <w:spacing w:before="156" w:after="156"/>
        <w:rPr>
          <w:sz w:val="30"/>
          <w:szCs w:val="30"/>
        </w:rPr>
      </w:pPr>
      <w:r>
        <w:rPr>
          <w:rFonts w:hint="eastAsia"/>
          <w:sz w:val="30"/>
          <w:szCs w:val="30"/>
        </w:rPr>
        <w:t>参考文献</w:t>
      </w:r>
    </w:p>
    <w:p>
      <w:pPr>
        <w:spacing w:before="156" w:after="156"/>
        <w:jc w:val="left"/>
        <w:rPr>
          <w:rFonts w:ascii="宋体" w:hAnsi="宋体"/>
          <w:szCs w:val="21"/>
          <w14:ligatures w14:val="none"/>
        </w:rPr>
      </w:pPr>
      <w:r>
        <w:rPr>
          <w:rFonts w:ascii="宋体" w:hAnsi="宋体"/>
          <w:szCs w:val="21"/>
          <w14:ligatures w14:val="none"/>
        </w:rPr>
        <w:t>[1]州生态环境局盈江分局.坚持生态立县共享绿色发展[N].德宏团结报,2024-01-18(007).</w:t>
      </w:r>
    </w:p>
    <w:p>
      <w:pPr>
        <w:spacing w:before="156" w:after="156"/>
        <w:jc w:val="left"/>
        <w:rPr>
          <w:rFonts w:ascii="宋体" w:hAnsi="宋体"/>
          <w:szCs w:val="21"/>
          <w14:ligatures w14:val="none"/>
        </w:rPr>
      </w:pPr>
      <w:r>
        <w:rPr>
          <w:rFonts w:ascii="宋体" w:hAnsi="宋体"/>
          <w:szCs w:val="21"/>
          <w14:ligatures w14:val="none"/>
        </w:rPr>
        <w:t>[</w:t>
      </w:r>
      <w:r>
        <w:rPr>
          <w:rFonts w:hint="eastAsia" w:ascii="宋体" w:hAnsi="宋体"/>
          <w:szCs w:val="21"/>
          <w14:ligatures w14:val="none"/>
        </w:rPr>
        <w:t>2</w:t>
      </w:r>
      <w:r>
        <w:rPr>
          <w:rFonts w:ascii="宋体" w:hAnsi="宋体"/>
          <w:szCs w:val="21"/>
          <w14:ligatures w14:val="none"/>
        </w:rPr>
        <w:t>]</w:t>
      </w:r>
      <w:r>
        <w:rPr>
          <w:rFonts w:hint="eastAsia" w:ascii="宋体" w:hAnsi="宋体"/>
          <w:szCs w:val="21"/>
          <w14:ligatures w14:val="none"/>
        </w:rPr>
        <w:t>刘同舫.</w:t>
      </w:r>
      <w:r>
        <w:rPr>
          <w:rFonts w:hint="eastAsia"/>
        </w:rPr>
        <w:t xml:space="preserve"> </w:t>
      </w:r>
      <w:r>
        <w:rPr>
          <w:rFonts w:hint="eastAsia" w:ascii="宋体" w:hAnsi="宋体"/>
          <w:szCs w:val="21"/>
          <w14:ligatures w14:val="none"/>
        </w:rPr>
        <w:t>“绿水青山就是金山银山”理念的科学内涵与深远意义</w:t>
      </w:r>
      <w:r>
        <w:rPr>
          <w:rFonts w:ascii="宋体" w:hAnsi="宋体"/>
          <w:szCs w:val="21"/>
          <w14:ligatures w14:val="none"/>
        </w:rPr>
        <w:t>[N].</w:t>
      </w:r>
      <w:r>
        <w:rPr>
          <w:rFonts w:hint="eastAsia" w:ascii="宋体" w:hAnsi="宋体"/>
          <w:szCs w:val="21"/>
          <w14:ligatures w14:val="none"/>
        </w:rPr>
        <w:t>光明日报</w:t>
      </w:r>
      <w:r>
        <w:rPr>
          <w:rFonts w:ascii="宋体" w:hAnsi="宋体"/>
          <w:szCs w:val="21"/>
          <w14:ligatures w14:val="none"/>
        </w:rPr>
        <w:t>,202</w:t>
      </w:r>
      <w:r>
        <w:rPr>
          <w:rFonts w:hint="eastAsia" w:ascii="宋体" w:hAnsi="宋体"/>
          <w:szCs w:val="21"/>
          <w14:ligatures w14:val="none"/>
        </w:rPr>
        <w:t>0</w:t>
      </w:r>
      <w:r>
        <w:rPr>
          <w:rFonts w:ascii="宋体" w:hAnsi="宋体"/>
          <w:szCs w:val="21"/>
          <w14:ligatures w14:val="none"/>
        </w:rPr>
        <w:t>-0</w:t>
      </w:r>
      <w:r>
        <w:rPr>
          <w:rFonts w:hint="eastAsia" w:ascii="宋体" w:hAnsi="宋体"/>
          <w:szCs w:val="21"/>
          <w14:ligatures w14:val="none"/>
        </w:rPr>
        <w:t>8</w:t>
      </w:r>
      <w:r>
        <w:rPr>
          <w:rFonts w:ascii="宋体" w:hAnsi="宋体"/>
          <w:szCs w:val="21"/>
          <w14:ligatures w14:val="none"/>
        </w:rPr>
        <w:t>-1</w:t>
      </w:r>
      <w:r>
        <w:rPr>
          <w:rFonts w:hint="eastAsia" w:ascii="宋体" w:hAnsi="宋体"/>
          <w:szCs w:val="21"/>
          <w14:ligatures w14:val="none"/>
        </w:rPr>
        <w:t>4</w:t>
      </w:r>
      <w:r>
        <w:rPr>
          <w:rFonts w:ascii="宋体" w:hAnsi="宋体"/>
          <w:szCs w:val="21"/>
          <w14:ligatures w14:val="none"/>
        </w:rPr>
        <w:t>.</w:t>
      </w:r>
    </w:p>
    <w:p>
      <w:pPr>
        <w:spacing w:before="156" w:after="156"/>
        <w:jc w:val="left"/>
        <w:rPr>
          <w:rFonts w:ascii="宋体" w:hAnsi="宋体"/>
          <w:szCs w:val="21"/>
          <w14:ligatures w14:val="none"/>
        </w:rPr>
      </w:pPr>
      <w:r>
        <w:rPr>
          <w:rFonts w:ascii="宋体" w:hAnsi="宋体"/>
          <w:szCs w:val="21"/>
          <w14:ligatures w14:val="none"/>
        </w:rPr>
        <w:t>[</w:t>
      </w:r>
      <w:r>
        <w:rPr>
          <w:rFonts w:hint="eastAsia" w:ascii="宋体" w:hAnsi="宋体"/>
          <w:szCs w:val="21"/>
          <w14:ligatures w14:val="none"/>
        </w:rPr>
        <w:t>3</w:t>
      </w:r>
      <w:r>
        <w:rPr>
          <w:rFonts w:ascii="宋体" w:hAnsi="宋体"/>
          <w:szCs w:val="21"/>
          <w14:ligatures w14:val="none"/>
        </w:rPr>
        <w:t>]</w:t>
      </w:r>
      <w:r>
        <w:rPr>
          <w:rFonts w:hint="eastAsia" w:ascii="宋体" w:hAnsi="宋体"/>
          <w:szCs w:val="21"/>
          <w14:ligatures w14:val="none"/>
        </w:rPr>
        <w:t>太平镇人民政府.太平镇石梯村观鸟产业发展情况</w:t>
      </w:r>
      <w:r>
        <w:rPr>
          <w:rFonts w:ascii="宋体" w:hAnsi="宋体"/>
          <w:szCs w:val="21"/>
          <w14:ligatures w14:val="none"/>
        </w:rPr>
        <w:t>[N].</w:t>
      </w:r>
      <w:r>
        <w:rPr>
          <w:rFonts w:hint="eastAsia" w:ascii="宋体" w:hAnsi="宋体"/>
          <w:szCs w:val="21"/>
          <w14:ligatures w14:val="none"/>
        </w:rPr>
        <w:t>2023-03-24.</w:t>
      </w:r>
    </w:p>
    <w:p>
      <w:pPr>
        <w:spacing w:before="156" w:after="156"/>
        <w:jc w:val="left"/>
        <w:rPr>
          <w:rFonts w:ascii="宋体" w:hAnsi="宋体"/>
          <w:szCs w:val="21"/>
          <w14:ligatures w14:val="none"/>
        </w:rPr>
      </w:pPr>
      <w:r>
        <w:rPr>
          <w:rFonts w:hint="eastAsia" w:ascii="宋体" w:hAnsi="宋体"/>
          <w:szCs w:val="21"/>
          <w14:ligatures w14:val="none"/>
        </w:rPr>
        <w:t>报告执笔人：</w:t>
      </w:r>
    </w:p>
    <w:p>
      <w:pPr>
        <w:spacing w:before="156" w:after="156"/>
        <w:jc w:val="left"/>
        <w:rPr>
          <w:rFonts w:ascii="宋体" w:hAnsi="宋体"/>
          <w:szCs w:val="21"/>
        </w:rPr>
      </w:pPr>
      <w:r>
        <w:rPr>
          <w:rFonts w:hint="eastAsia" w:ascii="宋体" w:hAnsi="宋体"/>
          <w:szCs w:val="21"/>
          <w14:ligatures w14:val="none"/>
        </w:rPr>
        <w:t>赵镛馨 清华大学经管学院大二学生</w:t>
      </w:r>
      <w:r>
        <w:rPr>
          <w:rFonts w:ascii="宋体" w:hAnsi="宋体"/>
          <w:szCs w:val="21"/>
          <w14:ligatures w14:val="none"/>
        </w:rPr>
        <w:t>;</w:t>
      </w:r>
      <w:r>
        <w:rPr>
          <w:rFonts w:hint="eastAsia" w:ascii="宋体" w:hAnsi="宋体"/>
          <w:szCs w:val="21"/>
          <w14:ligatures w14:val="none"/>
        </w:rPr>
        <w:t>胡凌微 清华大学经管学院大二学生</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fmt="numberInDash"/>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正文 CS 字体)">
    <w:altName w:val="宋体"/>
    <w:panose1 w:val="020B0604020202020204"/>
    <w:charset w:val="86"/>
    <w:family w:val="roman"/>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5"/>
      </w:rPr>
      <w:id w:val="377825636"/>
      <w:docPartObj>
        <w:docPartGallery w:val="autotext"/>
      </w:docPartObj>
    </w:sdtPr>
    <w:sdtEndPr>
      <w:rPr>
        <w:rStyle w:val="15"/>
      </w:rPr>
    </w:sdtEndPr>
    <w:sdtContent>
      <w:p>
        <w:pPr>
          <w:pStyle w:val="6"/>
          <w:framePr w:wrap="auto" w:vAnchor="text" w:hAnchor="margin" w:xAlign="center" w:y="1"/>
          <w:spacing w:before="120" w:after="120"/>
          <w:rPr>
            <w:rStyle w:val="15"/>
          </w:rPr>
        </w:pPr>
        <w:r>
          <w:rPr>
            <w:rStyle w:val="15"/>
          </w:rPr>
          <w:fldChar w:fldCharType="begin"/>
        </w:r>
        <w:r>
          <w:rPr>
            <w:rStyle w:val="15"/>
          </w:rPr>
          <w:instrText xml:space="preserve"> PAGE </w:instrText>
        </w:r>
        <w:r>
          <w:rPr>
            <w:rStyle w:val="15"/>
          </w:rPr>
          <w:fldChar w:fldCharType="separate"/>
        </w:r>
        <w:r>
          <w:rPr>
            <w:rStyle w:val="15"/>
          </w:rPr>
          <w:t>- 1 -</w:t>
        </w:r>
        <w:r>
          <w:rPr>
            <w:rStyle w:val="15"/>
          </w:rPr>
          <w:fldChar w:fldCharType="end"/>
        </w:r>
      </w:p>
    </w:sdtContent>
  </w:sdt>
  <w:p>
    <w:pPr>
      <w:pStyle w:val="6"/>
      <w:spacing w:before="120"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5"/>
      </w:rPr>
      <w:id w:val="-1"/>
      <w:docPartObj>
        <w:docPartGallery w:val="autotext"/>
      </w:docPartObj>
    </w:sdtPr>
    <w:sdtEndPr>
      <w:rPr>
        <w:rStyle w:val="15"/>
      </w:rPr>
    </w:sdtEndPr>
    <w:sdtContent>
      <w:p>
        <w:pPr>
          <w:pStyle w:val="6"/>
          <w:framePr w:wrap="auto" w:vAnchor="text" w:hAnchor="margin" w:xAlign="center" w:y="1"/>
          <w:spacing w:before="120" w:after="120"/>
          <w:rPr>
            <w:rStyle w:val="15"/>
          </w:rPr>
        </w:pPr>
        <w:r>
          <w:rPr>
            <w:rStyle w:val="15"/>
          </w:rPr>
          <w:fldChar w:fldCharType="begin"/>
        </w:r>
        <w:r>
          <w:rPr>
            <w:rStyle w:val="15"/>
          </w:rPr>
          <w:instrText xml:space="preserve"> PAGE </w:instrText>
        </w:r>
        <w:r>
          <w:rPr>
            <w:rStyle w:val="15"/>
          </w:rPr>
          <w:fldChar w:fldCharType="end"/>
        </w:r>
      </w:p>
    </w:sdtContent>
  </w:sdt>
  <w:p>
    <w:pPr>
      <w:pStyle w:val="6"/>
      <w:spacing w:before="120"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before="120"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before="120" w:after="120"/>
      <w:jc w:val="right"/>
      <w:rPr>
        <w:rFonts w:ascii="楷体" w:hAnsi="楷体" w:eastAsia="楷体"/>
      </w:rPr>
    </w:pPr>
    <w:r>
      <w:rPr>
        <w:rFonts w:ascii="楷体" w:hAnsi="楷体" w:eastAsia="楷体"/>
      </w:rPr>
      <w:t>202</w:t>
    </w:r>
    <w:r>
      <w:rPr>
        <w:rFonts w:hint="eastAsia" w:ascii="楷体" w:hAnsi="楷体" w:eastAsia="楷体"/>
      </w:rPr>
      <w:t>4</w:t>
    </w:r>
    <w:r>
      <w:rPr>
        <w:rFonts w:ascii="楷体" w:hAnsi="楷体" w:eastAsia="楷体"/>
      </w:rPr>
      <w:t>"滇羽奇缘"赴云南</w:t>
    </w:r>
    <w:r>
      <w:rPr>
        <w:rFonts w:hint="eastAsia" w:ascii="楷体" w:hAnsi="楷体" w:eastAsia="楷体"/>
      </w:rPr>
      <w:t>盈江</w:t>
    </w:r>
    <w:r>
      <w:rPr>
        <w:rFonts w:ascii="楷体" w:hAnsi="楷体" w:eastAsia="楷体"/>
      </w:rPr>
      <w:t>调研支队</w:t>
    </w:r>
    <w:r>
      <w:rPr>
        <w:rFonts w:ascii="楷体" w:hAnsi="楷体" w:eastAsia="楷体"/>
      </w:rPr>
      <w:drawing>
        <wp:inline distT="0" distB="0" distL="0" distR="0">
          <wp:extent cx="277495" cy="286385"/>
          <wp:effectExtent l="0" t="0" r="1905" b="5715"/>
          <wp:docPr id="870790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90424" name="图片 1"/>
                  <pic:cNvPicPr>
                    <a:picLocks noChangeAspect="1"/>
                  </pic:cNvPicPr>
                </pic:nvPicPr>
                <pic:blipFill>
                  <a:blip r:embed="rId1"/>
                  <a:stretch>
                    <a:fillRect/>
                  </a:stretch>
                </pic:blipFill>
                <pic:spPr>
                  <a:xfrm>
                    <a:off x="0" y="0"/>
                    <a:ext cx="346299" cy="356821"/>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before="120"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before="120"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335B0A"/>
    <w:multiLevelType w:val="multilevel"/>
    <w:tmpl w:val="DC335B0A"/>
    <w:lvl w:ilvl="0" w:tentative="0">
      <w:start w:val="1"/>
      <w:numFmt w:val="chineseCountingThousand"/>
      <w:pStyle w:val="2"/>
      <w:lvlText w:val="第%1章"/>
      <w:lvlJc w:val="left"/>
      <w:pPr>
        <w:tabs>
          <w:tab w:val="left" w:pos="0"/>
        </w:tabs>
        <w:ind w:left="0" w:firstLine="0"/>
      </w:pPr>
      <w:rPr>
        <w:rFonts w:hint="eastAsia" w:ascii="楷体" w:hAnsi="楷体" w:eastAsia="楷体"/>
        <w:b/>
        <w:i w:val="0"/>
        <w:color w:val="000000" w:themeColor="text1"/>
        <w:sz w:val="28"/>
        <w14:textFill>
          <w14:solidFill>
            <w14:schemeClr w14:val="tx1"/>
          </w14:solidFill>
        </w14:textFill>
      </w:rPr>
    </w:lvl>
    <w:lvl w:ilvl="1" w:tentative="0">
      <w:start w:val="1"/>
      <w:numFmt w:val="lowerLetter"/>
      <w:lvlText w:val="%2)"/>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1">
    <w:nsid w:val="48982F84"/>
    <w:multiLevelType w:val="multilevel"/>
    <w:tmpl w:val="48982F84"/>
    <w:lvl w:ilvl="0" w:tentative="0">
      <w:start w:val="1"/>
      <w:numFmt w:val="chineseCountingThousand"/>
      <w:pStyle w:val="3"/>
      <w:lvlText w:val="%1"/>
      <w:lvlJc w:val="left"/>
      <w:pPr>
        <w:tabs>
          <w:tab w:val="left" w:pos="0"/>
        </w:tabs>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F26284F"/>
    <w:multiLevelType w:val="multilevel"/>
    <w:tmpl w:val="4F26284F"/>
    <w:lvl w:ilvl="0" w:tentative="0">
      <w:start w:val="1"/>
      <w:numFmt w:val="chineseCountingThousand"/>
      <w:pStyle w:val="4"/>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705B1F7D"/>
    <w:multiLevelType w:val="multilevel"/>
    <w:tmpl w:val="705B1F7D"/>
    <w:lvl w:ilvl="0" w:tentative="0">
      <w:start w:val="1"/>
      <w:numFmt w:val="decimal"/>
      <w:pStyle w:val="24"/>
      <w:lvlText w:val="图%1"/>
      <w:lvlJc w:val="left"/>
      <w:pPr>
        <w:tabs>
          <w:tab w:val="left" w:pos="0"/>
        </w:tabs>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89C40F6"/>
    <w:multiLevelType w:val="multilevel"/>
    <w:tmpl w:val="789C40F6"/>
    <w:lvl w:ilvl="0" w:tentative="0">
      <w:start w:val="1"/>
      <w:numFmt w:val="decimal"/>
      <w:pStyle w:val="26"/>
      <w:lvlText w:val="表%1"/>
      <w:lvlJc w:val="left"/>
      <w:pPr>
        <w:tabs>
          <w:tab w:val="left" w:pos="0"/>
        </w:tabs>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 w:numId="3">
    <w:abstractNumId w:val="2"/>
  </w:num>
  <w:num w:numId="4">
    <w:abstractNumId w:val="3"/>
  </w:num>
  <w:num w:numId="5">
    <w:abstractNumId w:val="4"/>
  </w:num>
  <w:num w:numId="6">
    <w:abstractNumId w:val="1"/>
    <w:lvlOverride w:ilvl="0">
      <w:startOverride w:val="1"/>
    </w:lvlOverride>
  </w:num>
  <w:num w:numId="7">
    <w:abstractNumId w:val="2"/>
    <w:lvlOverride w:ilvl="0">
      <w:startOverride w:val="1"/>
    </w:lvlOverride>
  </w:num>
  <w:num w:numId="8">
    <w:abstractNumId w:val="2"/>
    <w:lvlOverride w:ilvl="0">
      <w:startOverride w:val="1"/>
    </w:lvlOverride>
  </w:num>
  <w:num w:numId="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QwMWVjOWIwOTQ0MTRlZWRkMDA0MzU4OTRiNWJlNDgifQ=="/>
  </w:docVars>
  <w:rsids>
    <w:rsidRoot w:val="00C0588D"/>
    <w:rsid w:val="0000764E"/>
    <w:rsid w:val="0003709F"/>
    <w:rsid w:val="00053944"/>
    <w:rsid w:val="00056EAE"/>
    <w:rsid w:val="00067BD8"/>
    <w:rsid w:val="00072888"/>
    <w:rsid w:val="0008726C"/>
    <w:rsid w:val="00094AB7"/>
    <w:rsid w:val="000A70A7"/>
    <w:rsid w:val="000B5560"/>
    <w:rsid w:val="000B7636"/>
    <w:rsid w:val="000B7BA5"/>
    <w:rsid w:val="000E2058"/>
    <w:rsid w:val="001025F3"/>
    <w:rsid w:val="00105D47"/>
    <w:rsid w:val="00106D69"/>
    <w:rsid w:val="0015091C"/>
    <w:rsid w:val="00163C82"/>
    <w:rsid w:val="001666A6"/>
    <w:rsid w:val="001A6143"/>
    <w:rsid w:val="001B13B6"/>
    <w:rsid w:val="001F2A40"/>
    <w:rsid w:val="00235D2E"/>
    <w:rsid w:val="002910BB"/>
    <w:rsid w:val="00293F1E"/>
    <w:rsid w:val="002941A9"/>
    <w:rsid w:val="002A71EC"/>
    <w:rsid w:val="002B52C7"/>
    <w:rsid w:val="002E03AC"/>
    <w:rsid w:val="002E0D53"/>
    <w:rsid w:val="0030024E"/>
    <w:rsid w:val="00316C7D"/>
    <w:rsid w:val="0032645C"/>
    <w:rsid w:val="003346EB"/>
    <w:rsid w:val="00351FC0"/>
    <w:rsid w:val="00354335"/>
    <w:rsid w:val="003554CF"/>
    <w:rsid w:val="0037298B"/>
    <w:rsid w:val="00384C05"/>
    <w:rsid w:val="003B1E0E"/>
    <w:rsid w:val="003B51FB"/>
    <w:rsid w:val="003E1DAC"/>
    <w:rsid w:val="00450C14"/>
    <w:rsid w:val="00487B82"/>
    <w:rsid w:val="0049198F"/>
    <w:rsid w:val="004B6180"/>
    <w:rsid w:val="004D2F40"/>
    <w:rsid w:val="004E0735"/>
    <w:rsid w:val="004F3C10"/>
    <w:rsid w:val="00507B23"/>
    <w:rsid w:val="00507DB7"/>
    <w:rsid w:val="005456B0"/>
    <w:rsid w:val="00567F05"/>
    <w:rsid w:val="0058508D"/>
    <w:rsid w:val="0059628B"/>
    <w:rsid w:val="005A3D12"/>
    <w:rsid w:val="0060631E"/>
    <w:rsid w:val="006759B6"/>
    <w:rsid w:val="006A0091"/>
    <w:rsid w:val="00705164"/>
    <w:rsid w:val="00716CCD"/>
    <w:rsid w:val="00717335"/>
    <w:rsid w:val="007275BA"/>
    <w:rsid w:val="00765201"/>
    <w:rsid w:val="007A189E"/>
    <w:rsid w:val="007B187E"/>
    <w:rsid w:val="007B3010"/>
    <w:rsid w:val="007B4DF6"/>
    <w:rsid w:val="007B54EA"/>
    <w:rsid w:val="007F5307"/>
    <w:rsid w:val="008118A2"/>
    <w:rsid w:val="0083083F"/>
    <w:rsid w:val="008379F7"/>
    <w:rsid w:val="00845E02"/>
    <w:rsid w:val="00853798"/>
    <w:rsid w:val="008561C7"/>
    <w:rsid w:val="008D664E"/>
    <w:rsid w:val="008D6AD2"/>
    <w:rsid w:val="00914706"/>
    <w:rsid w:val="009168B0"/>
    <w:rsid w:val="0095183E"/>
    <w:rsid w:val="00957D6D"/>
    <w:rsid w:val="00960DE0"/>
    <w:rsid w:val="009B2B25"/>
    <w:rsid w:val="00A10C1E"/>
    <w:rsid w:val="00A149D7"/>
    <w:rsid w:val="00A25AC9"/>
    <w:rsid w:val="00A47850"/>
    <w:rsid w:val="00A53BE0"/>
    <w:rsid w:val="00A603B8"/>
    <w:rsid w:val="00A77930"/>
    <w:rsid w:val="00A93C04"/>
    <w:rsid w:val="00AA63A2"/>
    <w:rsid w:val="00AC05E2"/>
    <w:rsid w:val="00AC1AE5"/>
    <w:rsid w:val="00AC506B"/>
    <w:rsid w:val="00AC522D"/>
    <w:rsid w:val="00AE713E"/>
    <w:rsid w:val="00AF5901"/>
    <w:rsid w:val="00B01B08"/>
    <w:rsid w:val="00B45D32"/>
    <w:rsid w:val="00B54CB8"/>
    <w:rsid w:val="00B7587D"/>
    <w:rsid w:val="00B903D8"/>
    <w:rsid w:val="00B91FDD"/>
    <w:rsid w:val="00BA1CF5"/>
    <w:rsid w:val="00BC7A0A"/>
    <w:rsid w:val="00C0588D"/>
    <w:rsid w:val="00C1263F"/>
    <w:rsid w:val="00C3101B"/>
    <w:rsid w:val="00C41900"/>
    <w:rsid w:val="00C47FCD"/>
    <w:rsid w:val="00C54C9E"/>
    <w:rsid w:val="00C66D62"/>
    <w:rsid w:val="00CB5330"/>
    <w:rsid w:val="00CD2DCD"/>
    <w:rsid w:val="00CE3804"/>
    <w:rsid w:val="00CE465C"/>
    <w:rsid w:val="00CF3954"/>
    <w:rsid w:val="00D0386F"/>
    <w:rsid w:val="00D24769"/>
    <w:rsid w:val="00DA7FB1"/>
    <w:rsid w:val="00DE1435"/>
    <w:rsid w:val="00E04689"/>
    <w:rsid w:val="00E05807"/>
    <w:rsid w:val="00E14E65"/>
    <w:rsid w:val="00E23E9D"/>
    <w:rsid w:val="00E35D4F"/>
    <w:rsid w:val="00E86113"/>
    <w:rsid w:val="00E90CC7"/>
    <w:rsid w:val="00E91007"/>
    <w:rsid w:val="00E96186"/>
    <w:rsid w:val="00EC434D"/>
    <w:rsid w:val="00EE6D04"/>
    <w:rsid w:val="00F56128"/>
    <w:rsid w:val="00F6132E"/>
    <w:rsid w:val="00F67802"/>
    <w:rsid w:val="00F9120C"/>
    <w:rsid w:val="00FB40CF"/>
    <w:rsid w:val="00FD2A8F"/>
    <w:rsid w:val="00FE16E5"/>
    <w:rsid w:val="09A565B1"/>
    <w:rsid w:val="1F760CEF"/>
    <w:rsid w:val="24761F88"/>
    <w:rsid w:val="4D154224"/>
    <w:rsid w:val="5ED7F2F7"/>
    <w:rsid w:val="72E2613A"/>
    <w:rsid w:val="75A264FB"/>
    <w:rsid w:val="9F9A41CF"/>
    <w:rsid w:val="DDF30D09"/>
    <w:rsid w:val="EDFB8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line="360" w:lineRule="auto"/>
      <w:jc w:val="both"/>
    </w:pPr>
    <w:rPr>
      <w:rFonts w:ascii="Times New Roman" w:hAnsi="Times New Roman" w:eastAsia="宋体" w:cs="Times New Roman (正文 CS 字体)"/>
      <w:kern w:val="2"/>
      <w:sz w:val="24"/>
      <w:szCs w:val="22"/>
      <w:lang w:val="en-US" w:eastAsia="zh-CN" w:bidi="ar-SA"/>
      <w14:ligatures w14:val="standardContextual"/>
    </w:rPr>
  </w:style>
  <w:style w:type="paragraph" w:styleId="2">
    <w:name w:val="heading 1"/>
    <w:next w:val="1"/>
    <w:qFormat/>
    <w:uiPriority w:val="9"/>
    <w:pPr>
      <w:keepNext/>
      <w:keepLines/>
      <w:numPr>
        <w:ilvl w:val="0"/>
        <w:numId w:val="1"/>
      </w:numPr>
      <w:spacing w:before="50" w:beforeLines="50" w:after="50" w:afterLines="50"/>
      <w:jc w:val="center"/>
      <w:outlineLvl w:val="0"/>
    </w:pPr>
    <w:rPr>
      <w:rFonts w:ascii="Times New Roman" w:hAnsi="Times New Roman" w:eastAsia="楷体" w:cs="Times New Roman (正文 CS 字体)"/>
      <w:b/>
      <w:kern w:val="44"/>
      <w:sz w:val="30"/>
      <w:szCs w:val="24"/>
      <w:lang w:val="en-US" w:eastAsia="zh-CN" w:bidi="ar-SA"/>
    </w:rPr>
  </w:style>
  <w:style w:type="paragraph" w:styleId="3">
    <w:name w:val="heading 2"/>
    <w:basedOn w:val="1"/>
    <w:next w:val="1"/>
    <w:link w:val="17"/>
    <w:unhideWhenUsed/>
    <w:qFormat/>
    <w:uiPriority w:val="9"/>
    <w:pPr>
      <w:keepNext/>
      <w:keepLines/>
      <w:numPr>
        <w:ilvl w:val="0"/>
        <w:numId w:val="2"/>
      </w:numPr>
      <w:outlineLvl w:val="1"/>
    </w:pPr>
    <w:rPr>
      <w:rFonts w:ascii="楷体" w:hAnsi="楷体" w:eastAsia="楷体" w:cstheme="majorBidi"/>
      <w:b/>
      <w:bCs/>
      <w:sz w:val="30"/>
      <w:szCs w:val="30"/>
    </w:rPr>
  </w:style>
  <w:style w:type="paragraph" w:styleId="4">
    <w:name w:val="heading 3"/>
    <w:basedOn w:val="3"/>
    <w:next w:val="1"/>
    <w:link w:val="18"/>
    <w:unhideWhenUsed/>
    <w:qFormat/>
    <w:uiPriority w:val="9"/>
    <w:pPr>
      <w:numPr>
        <w:numId w:val="3"/>
      </w:numPr>
      <w:spacing w:before="0" w:beforeLines="0" w:after="0" w:afterLines="0"/>
      <w:ind w:left="442" w:hanging="442"/>
      <w:outlineLvl w:val="2"/>
    </w:p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unhideWhenUsed/>
    <w:qFormat/>
    <w:uiPriority w:val="39"/>
    <w:pPr>
      <w:ind w:left="840" w:leftChars="400"/>
    </w:pPr>
  </w:style>
  <w:style w:type="paragraph" w:styleId="6">
    <w:name w:val="footer"/>
    <w:basedOn w:val="1"/>
    <w:link w:val="21"/>
    <w:unhideWhenUsed/>
    <w:qFormat/>
    <w:uiPriority w:val="99"/>
    <w:pPr>
      <w:tabs>
        <w:tab w:val="center" w:pos="4153"/>
        <w:tab w:val="right" w:pos="8306"/>
      </w:tabs>
      <w:snapToGrid w:val="0"/>
      <w:jc w:val="left"/>
    </w:pPr>
    <w:rPr>
      <w:sz w:val="18"/>
      <w:szCs w:val="18"/>
    </w:rPr>
  </w:style>
  <w:style w:type="paragraph" w:styleId="7">
    <w:name w:val="header"/>
    <w:basedOn w:val="1"/>
    <w:link w:val="20"/>
    <w:unhideWhenUsed/>
    <w:qFormat/>
    <w:uiPriority w:val="99"/>
    <w:pPr>
      <w:tabs>
        <w:tab w:val="center" w:pos="4153"/>
        <w:tab w:val="right" w:pos="8306"/>
      </w:tabs>
      <w:snapToGrid w:val="0"/>
      <w:jc w:val="center"/>
    </w:pPr>
    <w:rPr>
      <w:sz w:val="18"/>
      <w:szCs w:val="18"/>
    </w:rPr>
  </w:style>
  <w:style w:type="paragraph" w:styleId="8">
    <w:name w:val="toc 1"/>
    <w:basedOn w:val="1"/>
    <w:next w:val="1"/>
    <w:unhideWhenUsed/>
    <w:qFormat/>
    <w:uiPriority w:val="39"/>
  </w:style>
  <w:style w:type="paragraph" w:styleId="9">
    <w:name w:val="Subtitle"/>
    <w:basedOn w:val="10"/>
    <w:next w:val="1"/>
    <w:link w:val="23"/>
    <w:qFormat/>
    <w:uiPriority w:val="11"/>
    <w:pPr>
      <w:jc w:val="right"/>
    </w:pPr>
    <w:rPr>
      <w:sz w:val="30"/>
      <w:szCs w:val="30"/>
    </w:rPr>
  </w:style>
  <w:style w:type="paragraph" w:styleId="10">
    <w:name w:val="Title"/>
    <w:basedOn w:val="1"/>
    <w:next w:val="1"/>
    <w:link w:val="22"/>
    <w:qFormat/>
    <w:uiPriority w:val="10"/>
    <w:pPr>
      <w:jc w:val="center"/>
      <w:outlineLvl w:val="0"/>
    </w:pPr>
    <w:rPr>
      <w:rFonts w:ascii="宋体" w:hAnsi="宋体" w:cstheme="majorBidi"/>
      <w:b/>
      <w:bCs/>
      <w:sz w:val="32"/>
      <w:szCs w:val="32"/>
    </w:rPr>
  </w:style>
  <w:style w:type="paragraph" w:styleId="11">
    <w:name w:val="toc 2"/>
    <w:basedOn w:val="1"/>
    <w:next w:val="1"/>
    <w:unhideWhenUsed/>
    <w:uiPriority w:val="39"/>
    <w:pPr>
      <w:ind w:left="420" w:leftChars="200"/>
    </w:p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15">
    <w:name w:val="page number"/>
    <w:basedOn w:val="14"/>
    <w:semiHidden/>
    <w:unhideWhenUsed/>
    <w:qFormat/>
    <w:uiPriority w:val="99"/>
  </w:style>
  <w:style w:type="character" w:styleId="16">
    <w:name w:val="Hyperlink"/>
    <w:basedOn w:val="14"/>
    <w:unhideWhenUsed/>
    <w:qFormat/>
    <w:uiPriority w:val="99"/>
    <w:rPr>
      <w:color w:val="0000FF"/>
      <w:u w:val="single"/>
    </w:rPr>
  </w:style>
  <w:style w:type="character" w:customStyle="1" w:styleId="17">
    <w:name w:val="标题 2 字符"/>
    <w:basedOn w:val="14"/>
    <w:link w:val="3"/>
    <w:qFormat/>
    <w:uiPriority w:val="9"/>
    <w:rPr>
      <w:rFonts w:ascii="楷体" w:hAnsi="楷体" w:eastAsia="楷体" w:cstheme="majorBidi"/>
      <w:b/>
      <w:bCs/>
      <w:kern w:val="2"/>
      <w:sz w:val="30"/>
      <w:szCs w:val="30"/>
      <w14:ligatures w14:val="standardContextual"/>
    </w:rPr>
  </w:style>
  <w:style w:type="character" w:customStyle="1" w:styleId="18">
    <w:name w:val="标题 3 字符"/>
    <w:basedOn w:val="14"/>
    <w:link w:val="4"/>
    <w:qFormat/>
    <w:uiPriority w:val="9"/>
    <w:rPr>
      <w:rFonts w:ascii="楷体" w:hAnsi="楷体" w:eastAsia="楷体" w:cstheme="majorBidi"/>
      <w:b/>
      <w:bCs/>
      <w:kern w:val="2"/>
      <w:sz w:val="30"/>
      <w:szCs w:val="30"/>
      <w14:ligatures w14:val="standardContextual"/>
    </w:rPr>
  </w:style>
  <w:style w:type="paragraph" w:styleId="19">
    <w:name w:val="List Paragraph"/>
    <w:basedOn w:val="1"/>
    <w:qFormat/>
    <w:uiPriority w:val="34"/>
    <w:pPr>
      <w:ind w:firstLine="420" w:firstLineChars="200"/>
    </w:pPr>
    <w:rPr>
      <w:szCs w:val="28"/>
      <w14:ligatures w14:val="none"/>
    </w:rPr>
  </w:style>
  <w:style w:type="character" w:customStyle="1" w:styleId="20">
    <w:name w:val="页眉 字符"/>
    <w:basedOn w:val="14"/>
    <w:link w:val="7"/>
    <w:qFormat/>
    <w:uiPriority w:val="99"/>
    <w:rPr>
      <w:sz w:val="18"/>
      <w:szCs w:val="18"/>
    </w:rPr>
  </w:style>
  <w:style w:type="character" w:customStyle="1" w:styleId="21">
    <w:name w:val="页脚 字符"/>
    <w:basedOn w:val="14"/>
    <w:link w:val="6"/>
    <w:qFormat/>
    <w:uiPriority w:val="99"/>
    <w:rPr>
      <w:sz w:val="18"/>
      <w:szCs w:val="18"/>
    </w:rPr>
  </w:style>
  <w:style w:type="character" w:customStyle="1" w:styleId="22">
    <w:name w:val="标题 字符"/>
    <w:basedOn w:val="14"/>
    <w:link w:val="10"/>
    <w:qFormat/>
    <w:uiPriority w:val="10"/>
    <w:rPr>
      <w:rFonts w:ascii="宋体" w:hAnsi="宋体" w:cstheme="majorBidi"/>
      <w:b/>
      <w:bCs/>
      <w:kern w:val="2"/>
      <w:sz w:val="32"/>
      <w:szCs w:val="32"/>
      <w14:ligatures w14:val="standardContextual"/>
    </w:rPr>
  </w:style>
  <w:style w:type="character" w:customStyle="1" w:styleId="23">
    <w:name w:val="副标题 字符"/>
    <w:basedOn w:val="14"/>
    <w:link w:val="9"/>
    <w:qFormat/>
    <w:uiPriority w:val="11"/>
    <w:rPr>
      <w:rFonts w:ascii="宋体" w:hAnsi="宋体" w:cstheme="majorBidi"/>
      <w:b/>
      <w:bCs/>
      <w:kern w:val="2"/>
      <w:sz w:val="30"/>
      <w:szCs w:val="30"/>
      <w14:ligatures w14:val="standardContextual"/>
    </w:rPr>
  </w:style>
  <w:style w:type="paragraph" w:customStyle="1" w:styleId="24">
    <w:name w:val="图片"/>
    <w:next w:val="1"/>
    <w:link w:val="25"/>
    <w:qFormat/>
    <w:uiPriority w:val="0"/>
    <w:pPr>
      <w:numPr>
        <w:ilvl w:val="0"/>
        <w:numId w:val="4"/>
      </w:numPr>
      <w:spacing w:line="360" w:lineRule="auto"/>
      <w:jc w:val="center"/>
      <w:outlineLvl w:val="0"/>
    </w:pPr>
    <w:rPr>
      <w:rFonts w:ascii="楷体" w:hAnsi="楷体" w:eastAsia="楷体" w:cs="Times New Roman (正文 CS 字体)"/>
      <w:kern w:val="2"/>
      <w:sz w:val="21"/>
      <w:szCs w:val="21"/>
      <w:lang w:val="en-US" w:eastAsia="zh-CN" w:bidi="ar-SA"/>
      <w14:ligatures w14:val="standardContextual"/>
    </w:rPr>
  </w:style>
  <w:style w:type="character" w:customStyle="1" w:styleId="25">
    <w:name w:val="图片 字符"/>
    <w:basedOn w:val="14"/>
    <w:link w:val="24"/>
    <w:qFormat/>
    <w:uiPriority w:val="0"/>
    <w:rPr>
      <w:rFonts w:ascii="楷体" w:hAnsi="楷体" w:eastAsia="楷体" w:cs="Times New Roman (正文 CS 字体)"/>
      <w:kern w:val="2"/>
      <w:sz w:val="21"/>
      <w:szCs w:val="21"/>
      <w14:ligatures w14:val="standardContextual"/>
    </w:rPr>
  </w:style>
  <w:style w:type="paragraph" w:customStyle="1" w:styleId="26">
    <w:name w:val="表格"/>
    <w:basedOn w:val="24"/>
    <w:next w:val="24"/>
    <w:qFormat/>
    <w:uiPriority w:val="0"/>
    <w:pPr>
      <w:numPr>
        <w:numId w:val="5"/>
      </w:numPr>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8936</Words>
  <Characters>9230</Characters>
  <Lines>85</Lines>
  <Paragraphs>24</Paragraphs>
  <TotalTime>0</TotalTime>
  <ScaleCrop>false</ScaleCrop>
  <LinksUpToDate>false</LinksUpToDate>
  <CharactersWithSpaces>9640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2024-02-27T11:04:00Z</dcterms:created>
  <dc:creator>境 意</dc:creator>
  <cp:lastModifiedBy>2022030047</cp:lastModifiedBy>
  <dcterms:modified xsi:type="dcterms:W3CDTF">2024-03-08T12:36:16Z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4710A8E66F4EB956FF5ADB65A724CFE5_43</vt:lpwstr>
  </property>
</Properties>
</file>