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ninf0hfkiuaz" w:id="0"/>
      <w:bookmarkEnd w:id="0"/>
      <w:r w:rsidDel="00000000" w:rsidR="00000000" w:rsidRPr="00000000">
        <w:rPr>
          <w:rtl w:val="0"/>
        </w:rPr>
        <w:t xml:space="preserve">Portfolio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x0facthyhoe" w:id="1"/>
      <w:bookmarkEnd w:id="1"/>
      <w:r w:rsidDel="00000000" w:rsidR="00000000" w:rsidRPr="00000000">
        <w:rPr>
          <w:rtl w:val="0"/>
        </w:rPr>
        <w:t xml:space="preserve">Company Descriptions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NVIDIA (NVDA) </w:t>
      </w:r>
      <w:r w:rsidDel="00000000" w:rsidR="00000000" w:rsidRPr="00000000">
        <w:rPr>
          <w:rtl w:val="0"/>
        </w:rPr>
        <w:t xml:space="preserve">NVIDIA designs GPUs and accelerated computing platforms used in gaming, AI training/inference, and data centers. It also provides software and systems (e.g., CUDA ecosystem and AI infrastructure solutions) that help developers and enterprises deploy AI workloads at scale.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Micron Technology (MU)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Micron manufactures memory and storage semiconductors, including DRAM and NAND flash. Its products are used across PCs, smartphones, data centers, automotive, and industrial applications.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Lam Research (LRCX)</w:t>
      </w:r>
      <w:r w:rsidDel="00000000" w:rsidR="00000000" w:rsidRPr="00000000">
        <w:rPr>
          <w:rtl w:val="0"/>
        </w:rPr>
        <w:t xml:space="preserve"> Lam Research makes semiconductor manufacturing equipment, especially tools used in wafer fabrication steps like etch and deposition. Its systems enable advanced chipmaking processes for both logic and memory producers.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Applied Materials (AMAT)</w:t>
      </w:r>
      <w:r w:rsidDel="00000000" w:rsidR="00000000" w:rsidRPr="00000000">
        <w:rPr>
          <w:rtl w:val="0"/>
        </w:rPr>
        <w:t xml:space="preserve"> Applied Materials is a leading supplier of semiconductor fabrication equipment used for deposition, etching, inspection, and packaging. It also serves display and related materials engineering markets.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Microsoft (MSFT)</w:t>
      </w:r>
      <w:r w:rsidDel="00000000" w:rsidR="00000000" w:rsidRPr="00000000">
        <w:rPr>
          <w:rtl w:val="0"/>
        </w:rPr>
        <w:t xml:space="preserve"> Microsoft develops software and cloud services including Windows, Office/Microsoft 365, Azure cloud, and enterprise tools like GitHub and Dynamics. It also operates major consumer businesses such as Xbox and offers broad AI-enabled products and services.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Palantir Technologies (PLTR)</w:t>
      </w:r>
      <w:r w:rsidDel="00000000" w:rsidR="00000000" w:rsidRPr="00000000">
        <w:rPr>
          <w:rtl w:val="0"/>
        </w:rPr>
        <w:t xml:space="preserve"> Palantir builds data integration and analytics platforms that help organizations operationalize large datasets for decision-making. Its products are used by government and commercial customers for intelligence, security, and enterprise analytics.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Apple (AAPL)</w:t>
      </w:r>
      <w:r w:rsidDel="00000000" w:rsidR="00000000" w:rsidRPr="00000000">
        <w:rPr>
          <w:rtl w:val="0"/>
        </w:rPr>
        <w:t xml:space="preserve"> Apple designs consumer devices such as the iPhone, iPad, Mac, Apple Watch, and related accessories. It also runs a large services business including the App Store, iCloud, Apple Music, Apple Pay, and other subscription offerings.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Sonos (SONO)</w:t>
      </w:r>
      <w:r w:rsidDel="00000000" w:rsidR="00000000" w:rsidRPr="00000000">
        <w:rPr>
          <w:rtl w:val="0"/>
        </w:rPr>
        <w:t xml:space="preserve"> Sonos makes premium home audio products like wireless speakers, soundbars, and multi-room audio systems. The company focuses on connected audio experiences and software-driven sound management.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Exxon Mobil (XOM)</w:t>
      </w:r>
      <w:r w:rsidDel="00000000" w:rsidR="00000000" w:rsidRPr="00000000">
        <w:rPr>
          <w:rtl w:val="0"/>
        </w:rPr>
        <w:t xml:space="preserve"> Exxon Mobil is an integrated energy company involved in oil and gas exploration/production, refining, and petrochemicals. It sells fuels, lubricants, and chemical products globally.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Chevron (CVX)</w:t>
      </w:r>
      <w:r w:rsidDel="00000000" w:rsidR="00000000" w:rsidRPr="00000000">
        <w:rPr>
          <w:rtl w:val="0"/>
        </w:rPr>
        <w:t xml:space="preserve"> Chevron is also an integrated oil and gas company with upstream production and downstream refining/marketing operations. It provides energy products and participates in chemicals and other energy-related businesses.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Baker Hughes (BKR)</w:t>
      </w:r>
      <w:r w:rsidDel="00000000" w:rsidR="00000000" w:rsidRPr="00000000">
        <w:rPr>
          <w:rtl w:val="0"/>
        </w:rPr>
        <w:t xml:space="preserve"> Baker Hughes provides oilfield services and equipment that support drilling, production, and energy infrastructure. It also has exposure to industrial/energy technology solutions (e.g., equipment and services for energy and industrial clients).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Solaris Energy Infrastructure (SEI)</w:t>
      </w:r>
      <w:r w:rsidDel="00000000" w:rsidR="00000000" w:rsidRPr="00000000">
        <w:rPr>
          <w:rtl w:val="0"/>
        </w:rPr>
        <w:t xml:space="preserve"> Solaris provides equipment and services supporting energy operations and logistics/infrastructure needs. It’s positioned around enabling more efficient field operations and related infrastructure services.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8sdf1mf2cyk" w:id="2"/>
      <w:bookmarkEnd w:id="2"/>
      <w:r w:rsidDel="00000000" w:rsidR="00000000" w:rsidRPr="00000000">
        <w:rPr>
          <w:rtl w:val="0"/>
        </w:rPr>
        <w:t xml:space="preserve">Performance Summary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Starting capital: </w:t>
      </w:r>
      <w:r w:rsidDel="00000000" w:rsidR="00000000" w:rsidRPr="00000000">
        <w:rPr>
          <w:b w:val="1"/>
          <w:bCs w:val="1"/>
          <w:rtl w:val="0"/>
        </w:rPr>
        <w:t xml:space="preserve">$1,000,000.00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Total stock purchase value: </w:t>
      </w:r>
      <w:r w:rsidDel="00000000" w:rsidR="00000000" w:rsidRPr="00000000">
        <w:rPr>
          <w:b w:val="1"/>
          <w:bCs w:val="1"/>
          <w:rtl w:val="0"/>
        </w:rPr>
        <w:t xml:space="preserve">$998,442.00</w:t>
      </w:r>
      <w:r w:rsidDel="00000000" w:rsidR="00000000" w:rsidRPr="00000000">
        <w:rPr>
          <w:rtl w:val="0"/>
        </w:rPr>
        <w:t xml:space="preserve"> (cash left: </w:t>
      </w:r>
      <w:r w:rsidDel="00000000" w:rsidR="00000000" w:rsidRPr="00000000">
        <w:rPr>
          <w:b w:val="1"/>
          <w:bCs w:val="1"/>
          <w:rtl w:val="0"/>
        </w:rPr>
        <w:t xml:space="preserve">$1,558.00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Current value (stocks): </w:t>
      </w:r>
      <w:r w:rsidDel="00000000" w:rsidR="00000000" w:rsidRPr="00000000">
        <w:rPr>
          <w:b w:val="1"/>
          <w:bCs w:val="1"/>
          <w:rtl w:val="0"/>
        </w:rPr>
        <w:t xml:space="preserve">$4,293,586.80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Portfolio (stocks + cash): </w:t>
      </w:r>
      <w:r w:rsidDel="00000000" w:rsidR="00000000" w:rsidRPr="00000000">
        <w:rPr>
          <w:b w:val="1"/>
          <w:bCs w:val="1"/>
          <w:rtl w:val="0"/>
        </w:rPr>
        <w:t xml:space="preserve">$4,295,144.80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gain (before tax): </w:t>
      </w:r>
      <w:r w:rsidDel="00000000" w:rsidR="00000000" w:rsidRPr="00000000">
        <w:rPr>
          <w:b w:val="1"/>
          <w:bCs w:val="1"/>
          <w:rtl w:val="0"/>
        </w:rPr>
        <w:t xml:space="preserve">$3,295,144.80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+334.17</w:t>
      </w:r>
      <w:r w:rsidDel="00000000" w:rsidR="00000000" w:rsidRPr="00000000">
        <w:rPr>
          <w:b w:val="1"/>
          <w:bCs w:val="1"/>
          <w:rtl w:val="0"/>
        </w:rPr>
        <w:t xml:space="preserve">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a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 income tax rate applied to gains: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Tax = </w:t>
      </w:r>
      <w:r w:rsidDel="00000000" w:rsidR="00000000" w:rsidRPr="00000000">
        <w:rPr>
          <w:b w:val="1"/>
          <w:bCs w:val="1"/>
          <w:rtl w:val="0"/>
        </w:rPr>
        <w:t xml:space="preserve">$494,271.72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After-tax portfolio value: </w:t>
      </w:r>
      <w:r w:rsidDel="00000000" w:rsidR="00000000" w:rsidRPr="00000000">
        <w:rPr>
          <w:b w:val="1"/>
          <w:bCs w:val="1"/>
          <w:rtl w:val="0"/>
        </w:rPr>
        <w:t xml:space="preserve">$3,800,873.08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+284.05</w:t>
      </w:r>
      <w:r w:rsidDel="00000000" w:rsidR="00000000" w:rsidRPr="00000000">
        <w:rPr>
          <w:b w:val="1"/>
          <w:bCs w:val="1"/>
          <w:rtl w:val="0"/>
        </w:rPr>
        <w:t xml:space="preserve">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Biggest contributors: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NVDA: </w:t>
      </w:r>
      <w:r w:rsidDel="00000000" w:rsidR="00000000" w:rsidRPr="00000000">
        <w:rPr>
          <w:b w:val="1"/>
          <w:bCs w:val="1"/>
          <w:rtl w:val="0"/>
        </w:rPr>
        <w:t xml:space="preserve">+$1,732,500.00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PLTR: </w:t>
      </w:r>
      <w:r w:rsidDel="00000000" w:rsidR="00000000" w:rsidRPr="00000000">
        <w:rPr>
          <w:b w:val="1"/>
          <w:bCs w:val="1"/>
          <w:rtl w:val="0"/>
        </w:rPr>
        <w:t xml:space="preserve">+$283,719.80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XOM: </w:t>
      </w:r>
      <w:r w:rsidDel="00000000" w:rsidR="00000000" w:rsidRPr="00000000">
        <w:rPr>
          <w:b w:val="1"/>
          <w:bCs w:val="1"/>
          <w:rtl w:val="0"/>
        </w:rPr>
        <w:t xml:space="preserve">+$256,380.00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MU: </w:t>
      </w:r>
      <w:r w:rsidDel="00000000" w:rsidR="00000000" w:rsidRPr="00000000">
        <w:rPr>
          <w:b w:val="1"/>
          <w:bCs w:val="1"/>
          <w:rtl w:val="0"/>
        </w:rPr>
        <w:t xml:space="preserve">+$217,007.00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SEI: </w:t>
      </w:r>
      <w:r w:rsidDel="00000000" w:rsidR="00000000" w:rsidRPr="00000000">
        <w:rPr>
          <w:b w:val="1"/>
          <w:bCs w:val="1"/>
          <w:rtl w:val="0"/>
        </w:rPr>
        <w:t xml:space="preserve">+$216,050.00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Notable loss: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SONO: </w:t>
      </w:r>
      <w:r w:rsidDel="00000000" w:rsidR="00000000" w:rsidRPr="00000000">
        <w:rPr>
          <w:b w:val="1"/>
          <w:bCs w:val="1"/>
          <w:rtl w:val="0"/>
        </w:rPr>
        <w:t xml:space="preserve">-$32,625.00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Overall, my portfolio’s outperformance is largely powered by semiconductors/AI-linked tech (especially NVDA), with energy holdings also adding meaningful gains.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yttktj78u6ww" w:id="3"/>
      <w:bookmarkEnd w:id="3"/>
      <w:r w:rsidDel="00000000" w:rsidR="00000000" w:rsidRPr="00000000">
        <w:rPr>
          <w:rtl w:val="0"/>
        </w:rPr>
        <w:t xml:space="preserve">Relative Performance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My Portfolio: </w:t>
      </w:r>
      <w:r w:rsidDel="00000000" w:rsidR="00000000" w:rsidRPr="00000000">
        <w:rPr>
          <w:b w:val="1"/>
          <w:bCs w:val="1"/>
          <w:rtl w:val="0"/>
        </w:rPr>
        <w:t xml:space="preserve">+334.17%</w:t>
      </w:r>
      <w:r w:rsidDel="00000000" w:rsidR="00000000" w:rsidRPr="00000000">
        <w:rPr>
          <w:rtl w:val="0"/>
        </w:rPr>
        <w:t xml:space="preserve"> pre-tax; </w:t>
      </w:r>
      <w:r w:rsidDel="00000000" w:rsidR="00000000" w:rsidRPr="00000000">
        <w:rPr>
          <w:b w:val="1"/>
          <w:bCs w:val="1"/>
          <w:rtl w:val="0"/>
        </w:rPr>
        <w:t xml:space="preserve">+284.05%</w:t>
      </w:r>
      <w:r w:rsidDel="00000000" w:rsidR="00000000" w:rsidRPr="00000000">
        <w:rPr>
          <w:rtl w:val="0"/>
        </w:rPr>
        <w:t xml:space="preserve"> after-tax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Nasdaq (QQQ): </w:t>
      </w:r>
      <w:r w:rsidDel="00000000" w:rsidR="00000000" w:rsidRPr="00000000">
        <w:rPr>
          <w:b w:val="1"/>
          <w:bCs w:val="1"/>
          <w:rtl w:val="0"/>
        </w:rPr>
        <w:t xml:space="preserve">+80.21%</w:t>
      </w:r>
      <w:r w:rsidDel="00000000" w:rsidR="00000000" w:rsidRPr="00000000">
        <w:rPr>
          <w:rtl w:val="0"/>
        </w:rPr>
        <w:t xml:space="preserve"> pre-tax; </w:t>
      </w:r>
      <w:r w:rsidDel="00000000" w:rsidR="00000000" w:rsidRPr="00000000">
        <w:rPr>
          <w:b w:val="1"/>
          <w:bCs w:val="1"/>
          <w:rtl w:val="0"/>
        </w:rPr>
        <w:t xml:space="preserve">+68.18%</w:t>
      </w:r>
      <w:r w:rsidDel="00000000" w:rsidR="00000000" w:rsidRPr="00000000">
        <w:rPr>
          <w:rtl w:val="0"/>
        </w:rPr>
        <w:t xml:space="preserve"> after-tax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S&amp;P 500 (VFINX): </w:t>
      </w:r>
      <w:r w:rsidDel="00000000" w:rsidR="00000000" w:rsidRPr="00000000">
        <w:rPr>
          <w:b w:val="1"/>
          <w:bCs w:val="1"/>
          <w:rtl w:val="0"/>
        </w:rPr>
        <w:t xml:space="preserve">+92.05%</w:t>
      </w:r>
      <w:r w:rsidDel="00000000" w:rsidR="00000000" w:rsidRPr="00000000">
        <w:rPr>
          <w:rtl w:val="0"/>
        </w:rPr>
        <w:t xml:space="preserve"> pre-tax; </w:t>
      </w:r>
      <w:r w:rsidDel="00000000" w:rsidR="00000000" w:rsidRPr="00000000">
        <w:rPr>
          <w:b w:val="1"/>
          <w:bCs w:val="1"/>
          <w:rtl w:val="0"/>
        </w:rPr>
        <w:t xml:space="preserve">+78.25%</w:t>
      </w:r>
      <w:r w:rsidDel="00000000" w:rsidR="00000000" w:rsidRPr="00000000">
        <w:rPr>
          <w:rtl w:val="0"/>
        </w:rPr>
        <w:t xml:space="preserve"> after-tax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Dow (DIA): </w:t>
      </w:r>
      <w:r w:rsidDel="00000000" w:rsidR="00000000" w:rsidRPr="00000000">
        <w:rPr>
          <w:b w:val="1"/>
          <w:bCs w:val="1"/>
          <w:rtl w:val="0"/>
        </w:rPr>
        <w:t xml:space="preserve">+56.85%</w:t>
      </w:r>
      <w:r w:rsidDel="00000000" w:rsidR="00000000" w:rsidRPr="00000000">
        <w:rPr>
          <w:rtl w:val="0"/>
        </w:rPr>
        <w:t xml:space="preserve"> pre-tax; </w:t>
      </w:r>
      <w:r w:rsidDel="00000000" w:rsidR="00000000" w:rsidRPr="00000000">
        <w:rPr>
          <w:b w:val="1"/>
          <w:bCs w:val="1"/>
          <w:rtl w:val="0"/>
        </w:rPr>
        <w:t xml:space="preserve">+48.32%</w:t>
      </w:r>
      <w:r w:rsidDel="00000000" w:rsidR="00000000" w:rsidRPr="00000000">
        <w:rPr>
          <w:rtl w:val="0"/>
        </w:rPr>
        <w:t xml:space="preserve"> after-tax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Automotive (CARZ): </w:t>
      </w:r>
      <w:r w:rsidDel="00000000" w:rsidR="00000000" w:rsidRPr="00000000">
        <w:rPr>
          <w:b w:val="1"/>
          <w:bCs w:val="1"/>
          <w:rtl w:val="0"/>
        </w:rPr>
        <w:t xml:space="preserve">+46.52%</w:t>
      </w:r>
      <w:r w:rsidDel="00000000" w:rsidR="00000000" w:rsidRPr="00000000">
        <w:rPr>
          <w:rtl w:val="0"/>
        </w:rPr>
        <w:t xml:space="preserve"> pre-tax; </w:t>
      </w:r>
      <w:r w:rsidDel="00000000" w:rsidR="00000000" w:rsidRPr="00000000">
        <w:rPr>
          <w:b w:val="1"/>
          <w:bCs w:val="1"/>
          <w:rtl w:val="0"/>
        </w:rPr>
        <w:t xml:space="preserve">+39.54%</w:t>
      </w:r>
      <w:r w:rsidDel="00000000" w:rsidR="00000000" w:rsidRPr="00000000">
        <w:rPr>
          <w:rtl w:val="0"/>
        </w:rPr>
        <w:t xml:space="preserve"> after-tax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 portfolio significantly outperformed every benchmark shown driven primarily by a few high-performing individual stocks rather than broad index exposure.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nqvcnwevqezw" w:id="4"/>
      <w:bookmarkEnd w:id="4"/>
      <w:r w:rsidDel="00000000" w:rsidR="00000000" w:rsidRPr="00000000">
        <w:rPr>
          <w:rtl w:val="0"/>
        </w:rPr>
        <w:t xml:space="preserve">Generative AI as an Excel Assistant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9o99y28777t" w:id="5"/>
      <w:bookmarkEnd w:id="5"/>
      <w:r w:rsidDel="00000000" w:rsidR="00000000" w:rsidRPr="00000000">
        <w:rPr>
          <w:rtl w:val="0"/>
        </w:rPr>
        <w:t xml:space="preserve">Use of Generative AI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GPT-5.2: Thinking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Portfolio Summary, Generative AI assignment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Via online fact checking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xj9jglmtuqy6" w:id="6"/>
      <w:bookmarkEnd w:id="6"/>
      <w:r w:rsidDel="00000000" w:rsidR="00000000" w:rsidRPr="00000000">
        <w:rPr>
          <w:rtl w:val="0"/>
        </w:rPr>
        <w:t xml:space="preserve"> AI-Assisted Formula Explanation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What does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=GETPIVOTDATA("Sum of Gain  (Loss) ",$A$3,"Industry","Consumer Electronics")/GETPIVOTDATA("Sum of Total Purchase Value ",$A$3,"Industry","Consumer Electronics")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 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That formula is taking </w:t>
      </w:r>
      <w:r w:rsidDel="00000000" w:rsidR="00000000" w:rsidRPr="00000000">
        <w:rPr>
          <w:b w:val="1"/>
          <w:bCs w:val="1"/>
          <w:rtl w:val="0"/>
        </w:rPr>
        <w:t xml:space="preserve">two values out of a PivotTable</w:t>
      </w:r>
      <w:r w:rsidDel="00000000" w:rsidR="00000000" w:rsidRPr="00000000">
        <w:rPr>
          <w:rtl w:val="0"/>
        </w:rPr>
        <w:t xml:space="preserve"> (anchored at cell </w:t>
      </w:r>
      <w:r w:rsidDel="00000000" w:rsidR="00000000" w:rsidRPr="00000000">
        <w:rPr>
          <w:b w:val="1"/>
          <w:bCs w:val="1"/>
          <w:rtl w:val="0"/>
        </w:rPr>
        <w:t xml:space="preserve">$A$3</w:t>
      </w:r>
      <w:r w:rsidDel="00000000" w:rsidR="00000000" w:rsidRPr="00000000">
        <w:rPr>
          <w:rtl w:val="0"/>
        </w:rPr>
        <w:t xml:space="preserve">) for the item </w:t>
      </w:r>
      <w:r w:rsidDel="00000000" w:rsidR="00000000" w:rsidRPr="00000000">
        <w:rPr>
          <w:b w:val="1"/>
          <w:bCs w:val="1"/>
          <w:rtl w:val="0"/>
        </w:rPr>
        <w:t xml:space="preserve">Industry = "Consumer Electronics"</w:t>
      </w:r>
      <w:r w:rsidDel="00000000" w:rsidR="00000000" w:rsidRPr="00000000">
        <w:rPr>
          <w:rtl w:val="0"/>
        </w:rPr>
        <w:t xml:space="preserve">, and then </w:t>
      </w:r>
      <w:r w:rsidDel="00000000" w:rsidR="00000000" w:rsidRPr="00000000">
        <w:rPr>
          <w:b w:val="1"/>
          <w:bCs w:val="1"/>
          <w:rtl w:val="0"/>
        </w:rPr>
        <w:t xml:space="preserve">dividing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GETPIVOTDATA("Sum of Gain (Loss) ", $A$3, "Industry", "Consumer Electronics")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returns the PivotTable’s </w:t>
      </w:r>
      <w:r w:rsidDel="00000000" w:rsidR="00000000" w:rsidRPr="00000000">
        <w:rPr>
          <w:b w:val="1"/>
          <w:bCs w:val="1"/>
          <w:rtl w:val="0"/>
        </w:rPr>
        <w:t xml:space="preserve">Sum of Gain (Loss)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Consumer Electronics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GETPIVOTDATA("Sum of Total Purchase Value ", $A$3, "Industry", "Consumer Electronics")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 returns the PivotTable’s </w:t>
      </w:r>
      <w:r w:rsidDel="00000000" w:rsidR="00000000" w:rsidRPr="00000000">
        <w:rPr>
          <w:b w:val="1"/>
          <w:bCs w:val="1"/>
          <w:rtl w:val="0"/>
        </w:rPr>
        <w:t xml:space="preserve">Sum of Total Purchase Value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Consumer Electronics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computes: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(Sum of Gain/Loss for Consumer Electronics) ÷ (Sum of Total Purchase Value for Consumer Electronics)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result is a </w:t>
      </w:r>
      <w:r w:rsidDel="00000000" w:rsidR="00000000" w:rsidRPr="00000000">
        <w:rPr>
          <w:b w:val="1"/>
          <w:bCs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(often interpreted like a </w:t>
      </w:r>
      <w:r w:rsidDel="00000000" w:rsidR="00000000" w:rsidRPr="00000000">
        <w:rPr>
          <w:i w:val="1"/>
          <w:iCs w:val="1"/>
          <w:rtl w:val="0"/>
        </w:rPr>
        <w:t xml:space="preserve">return on purchase value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gain/loss as a % of purchase value</w:t>
      </w:r>
      <w:r w:rsidDel="00000000" w:rsidR="00000000" w:rsidRPr="00000000">
        <w:rPr>
          <w:rtl w:val="0"/>
        </w:rPr>
        <w:t xml:space="preserve">).</w:t>
        <w:br w:type="textWrapping"/>
        <w:t xml:space="preserve">Example: if Gain/Loss = 200 and Total Purchase Value = 10,000, result = 0.02 (=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 if formatted as percent).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Response: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formula retrieves data from the pivot table (which is linked to another sheet) and returns the division of another pivot table value.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AI explanation is correct.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dxuffmwtnj8" w:id="7"/>
      <w:bookmarkEnd w:id="7"/>
      <w:r w:rsidDel="00000000" w:rsidR="00000000" w:rsidRPr="00000000">
        <w:rPr>
          <w:rtl w:val="0"/>
        </w:rPr>
        <w:t xml:space="preserve">AI-Assisted Debugging or Improvement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=GETPIVOTDATA("Sum of Gain (Loss) ",$A$3,"Industry","Consumer Electronics")/GETPIVOTDATA("Sum of Total Purchase Value ",$A$3,"Industry","Consumer Electronics") suggest a better approach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Here are better approaches, depending on what you’re trying to achieve (robustness, readability, or reuse across industries).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jc w:val="left"/>
        <w:rPr/>
      </w:pPr>
      <w:bookmarkStart w:colFirst="0" w:colLast="0" w:name="_s05zdgczch56" w:id="8"/>
      <w:bookmarkEnd w:id="8"/>
      <w:r w:rsidDel="00000000" w:rsidR="00000000" w:rsidRPr="00000000">
        <w:rPr>
          <w:rtl w:val="0"/>
        </w:rPr>
        <w:t xml:space="preserve">1) Best in a PivotTable: add a Calculated Field / Measure (no GETPIVOTDATA)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control the PivotTable, the cleanest way is to compute the ratio </w:t>
      </w: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Pivot: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Calculated Field (classic Pivot on source data):</w:t>
        <w:br w:type="textWrapping"/>
      </w:r>
      <w:r w:rsidDel="00000000" w:rsidR="00000000" w:rsidRPr="00000000">
        <w:rPr>
          <w:rtl w:val="0"/>
        </w:rPr>
        <w:t xml:space="preserve">Create a field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'Gain (Loss)' / 'Total Purchase Value'</w:t>
        <w:br w:type="textWrapping"/>
      </w:r>
      <w:r w:rsidDel="00000000" w:rsidR="00000000" w:rsidRPr="00000000">
        <w:rPr>
          <w:rtl w:val="0"/>
        </w:rPr>
        <w:t xml:space="preserve">Then summarize it (often as Average, or Sum—choose what matches your intent).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Model / Power Pivot (recommended):</w:t>
        <w:br w:type="textWrapping"/>
      </w: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measure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% := DIVIDE(SUM([Gain (Loss)]), SUM([Total Purchase Value]))</w:t>
        <w:br w:type="textWrapping"/>
      </w:r>
      <w:r w:rsidDel="00000000" w:rsidR="00000000" w:rsidRPr="00000000">
        <w:rPr>
          <w:rtl w:val="0"/>
        </w:rPr>
        <w:t xml:space="preserve">This is the most reliable (handles zeros, filters, slicers, etc.).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better: it automatically respects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filters/slicers and you don’t hardcode “Consumer Electronics” all over the sheet.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jc w:val="left"/>
        <w:rPr/>
      </w:pPr>
      <w:bookmarkStart w:colFirst="0" w:colLast="0" w:name="_paeab9c24wki" w:id="9"/>
      <w:bookmarkEnd w:id="9"/>
      <w:r w:rsidDel="00000000" w:rsidR="00000000" w:rsidRPr="00000000">
        <w:rPr>
          <w:rtl w:val="0"/>
        </w:rPr>
        <w:t xml:space="preserve">2) More flexible formula: make the industry a cell reference + safe divide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the industry in the formula, put it in a cell (say </w:t>
      </w:r>
      <w:r w:rsidDel="00000000" w:rsidR="00000000" w:rsidRPr="00000000">
        <w:rPr>
          <w:b w:val="1"/>
          <w:bCs w:val="1"/>
          <w:rtl w:val="0"/>
        </w:rPr>
        <w:t xml:space="preserve">E2</w:t>
      </w:r>
      <w:r w:rsidDel="00000000" w:rsidR="00000000" w:rsidRPr="00000000">
        <w:rPr>
          <w:rtl w:val="0"/>
        </w:rPr>
        <w:t xml:space="preserve">), then: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=LET(ind,$E$2,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gain,GETPIVOTDATA("Sum of Gain (Loss) ",$A$3,"Industry",ind),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tpv, GETPIVOTDATA("Sum of Total Purchase Value ",$A$3,"Industry",ind),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IFERROR(gain/tpv,""))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better: easy to copy, change industry via a dropdown, and avoids ugly errors.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jc w:val="left"/>
        <w:rPr/>
      </w:pPr>
      <w:bookmarkStart w:colFirst="0" w:colLast="0" w:name="_f7makua2o5s4" w:id="10"/>
      <w:bookmarkEnd w:id="10"/>
      <w:r w:rsidDel="00000000" w:rsidR="00000000" w:rsidRPr="00000000">
        <w:rPr>
          <w:rtl w:val="0"/>
        </w:rPr>
        <w:t xml:space="preserve">3) If you just need the number and don’t care about GETPIVOTDATA: use the Pivot cell directly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pivot layout is stable, you can reference the actual pivot value cells: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=IFERROR(B10/C10,"")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better: shorter.</w:t>
        <w:br w:type="textWrapping"/>
        <w:t xml:space="preserve">Downside: breaks if pivot layout moves/refreshes.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Rule="auto"/>
        <w:jc w:val="left"/>
        <w:rPr/>
      </w:pPr>
      <w:bookmarkStart w:colFirst="0" w:colLast="0" w:name="_98dfncympf0e" w:id="11"/>
      <w:bookmarkEnd w:id="11"/>
      <w:r w:rsidDel="00000000" w:rsidR="00000000" w:rsidRPr="00000000">
        <w:rPr>
          <w:rtl w:val="0"/>
        </w:rPr>
        <w:t xml:space="preserve">4) Skip Pivot entirely: compute from the raw data with SUMIFS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source table has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Gain (Loss)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Purchase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=LET(ind,$E$2,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gain,SUMIFS(Data[Gain (Loss)],Data[Industry],ind),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tpv, SUMIFS(Data[Total Purchase Value],Data[Industry],ind),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IFERROR(gain/tpv,""))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better: doesn’t depend on pivot structure at all.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9bkx87neyhf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My recommendation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you’re using the </w:t>
      </w:r>
      <w:r w:rsidDel="00000000" w:rsidR="00000000" w:rsidRPr="00000000">
        <w:rPr>
          <w:b w:val="1"/>
          <w:bCs w:val="1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Measure with DIVIDE</w:t>
      </w:r>
      <w:r w:rsidDel="00000000" w:rsidR="00000000" w:rsidRPr="00000000">
        <w:rPr>
          <w:rtl w:val="0"/>
        </w:rPr>
        <w:t xml:space="preserve"> (Option 1, Power Pivot) is the best.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want to keep the existing PivotTable: </w:t>
      </w:r>
      <w:r w:rsidDel="00000000" w:rsidR="00000000" w:rsidRPr="00000000">
        <w:rPr>
          <w:b w:val="1"/>
          <w:bCs w:val="1"/>
          <w:rtl w:val="0"/>
        </w:rPr>
        <w:t xml:space="preserve">Option 2 (LET + cell reference + IFERROR)</w:t>
      </w:r>
      <w:r w:rsidDel="00000000" w:rsidR="00000000" w:rsidRPr="00000000">
        <w:rPr>
          <w:rtl w:val="0"/>
        </w:rPr>
        <w:t xml:space="preserve"> is the best “formula-only” upgrade.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your Pivot is a normal Pivot or uses the Data Model, and where “Industry” lives (rows/filters), I’ll point to the single best option for your setup.</w:t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formula too complicated</w:t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Suggestion: </w:t>
      </w:r>
      <w:r w:rsidDel="00000000" w:rsidR="00000000" w:rsidRPr="00000000">
        <w:rPr>
          <w:rtl w:val="0"/>
        </w:rPr>
        <w:t xml:space="preserve">use additional fields on pivot tables, more flexible formulas, or use other alternatives that aren’t pivot tables.</w:t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decision: </w:t>
      </w:r>
      <w:r w:rsidDel="00000000" w:rsidR="00000000" w:rsidRPr="00000000">
        <w:rPr>
          <w:rtl w:val="0"/>
        </w:rPr>
        <w:t xml:space="preserve">keep the original approach with a pivot table as the assignment asks for.</w:t>
      </w:r>
    </w:p>
    <w:p w:rsidR="00000000" w:rsidDel="00000000" w:rsidP="00000000" w:rsidRDefault="00000000" w:rsidRPr="00000000" w14:paraId="000000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ez5hdhyun4hq" w:id="13"/>
      <w:bookmarkEnd w:id="13"/>
      <w:r w:rsidDel="00000000" w:rsidR="00000000" w:rsidRPr="00000000">
        <w:rPr>
          <w:rtl w:val="0"/>
        </w:rPr>
        <w:t xml:space="preserve">Reflection on AI and Judgment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helps the most in scenarios that involve repeated tasks that can be automated, or in scenarios that require the clarification of a particular topic (assistance).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Human judgement remains essential because AI can’t actually complete your assignment, i.e. you still need to do all the excel things as a human.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Verification is important to prevent hallucination among LLMs which is very common.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