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Step 5</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Calendar plan: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 will be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now - Until the end of year (31 December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Web client side with logic [MVP]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Mobile [iOS] merchant side [MVP]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Until the end of February (28 February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 Web merchant side with logic [MVP]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March - 30 March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Testing web/mobile apps with supervisor and bug fixes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Step 6</w:t>
      </w:r>
    </w:p>
    <w:p w:rsidR="00000000" w:rsidDel="00000000" w:rsidP="00000000" w:rsidRDefault="00000000" w:rsidRPr="00000000" w14:paraId="0000000E">
      <w:pPr>
        <w:ind w:left="0" w:firstLine="0"/>
        <w:rPr/>
      </w:pPr>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Client side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Back-end</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Front-end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Design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Merchant side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Back-end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Front-end</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Design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Mobile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b w:val="1"/>
          <w:rtl w:val="0"/>
        </w:rPr>
        <w:t xml:space="preserve">Assigned to:</w:t>
      </w:r>
      <w:r w:rsidDel="00000000" w:rsidR="00000000" w:rsidRPr="00000000">
        <w:rPr>
          <w:rtl w:val="0"/>
        </w:rPr>
        <w:t xml:space="preserve">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Nurtugan:</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Mobile [iOS]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Design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Fazylzhan</w:t>
      </w:r>
      <w:r w:rsidDel="00000000" w:rsidR="00000000" w:rsidRPr="00000000">
        <w:rPr>
          <w:rtl w:val="0"/>
        </w:rPr>
        <w:t xml:space="preserv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Back-end</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Front-end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28"/>
          <w:szCs w:val="28"/>
          <w:rtl w:val="0"/>
        </w:rPr>
        <w:t xml:space="preserve">Step 7</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the beginning of march we will test our applications web and mobile with our supervisor, and will fix bugs and user experience mistakes. After that will write documentation to our applications until the end of May.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