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F3864"/>
          <w:sz w:val="72"/>
          <w:szCs w:val="72"/>
        </w:rPr>
        <w:t xml:space="preserve">BankID.CZ</w:t>
      </w:r>
    </w:p>
    <w:p>
      <w:pPr>
        <w:spacing w:after="200"/>
        <w:jc w:val="center"/>
      </w:pPr>
      <w:r>
        <w:rPr>
          <w:rFonts w:ascii="Arial" w:cs="Arial" w:eastAsia="Arial" w:hAnsi="Arial"/>
          <w:color w:val="2E75B6"/>
          <w:sz w:val="40"/>
          <w:szCs w:val="40"/>
        </w:rPr>
        <w:t xml:space="preserve">Documentation Explicative</w:t>
      </w:r>
    </w:p>
    <w:p>
      <w:pPr>
        <w:spacing w:after="120"/>
        <w:jc w:val="center"/>
      </w:pPr>
      <w:r>
        <w:rPr>
          <w:rFonts w:ascii="Arial" w:cs="Arial" w:eastAsia="Arial" w:hAnsi="Arial"/>
          <w:color w:val="555555"/>
          <w:sz w:val="30"/>
          <w:szCs w:val="30"/>
        </w:rPr>
        <w:t xml:space="preserve">Comprendre BankID et le rôle de Service Provider</w:t>
      </w:r>
    </w:p>
    <w:p>
      <w:pPr>
        <w:spacing w:after="600"/>
        <w:jc w:val="center"/>
      </w:pPr>
      <w:r>
        <w:rPr>
          <w:rFonts w:ascii="Arial" w:cs="Arial" w:eastAsia="Arial" w:hAnsi="Arial"/>
          <w:i/>
          <w:iCs/>
          <w:color w:val="888888"/>
          <w:sz w:val="24"/>
          <w:szCs w:val="24"/>
        </w:rPr>
        <w:t xml:space="preserve">Document 1 / 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sz w:val="20"/>
                <w:szCs w:val="20"/>
              </w:rPr>
              <w:t xml:space="preserve">Périmètre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Service Provider (SeP) — consommateur BankID</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Mai 2026</w:t>
            </w:r>
          </w:p>
        </w:tc>
      </w:tr>
    </w:tbl>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1. Introduction</w:t>
      </w:r>
    </w:p>
    <w:p>
      <w:pPr>
        <w:pStyle w:val="Heading2"/>
        <w:spacing w:after="160" w:before="360"/>
      </w:pPr>
      <w:r>
        <w:rPr>
          <w:rFonts w:ascii="Arial" w:cs="Arial" w:eastAsia="Arial" w:hAnsi="Arial"/>
          <w:b/>
          <w:bCs/>
          <w:color w:val="2E75B6"/>
          <w:sz w:val="28"/>
          <w:szCs w:val="28"/>
        </w:rPr>
        <w:t xml:space="preserve">1.1 Qu'est-ce que BankID CZ ?</w:t>
      </w:r>
    </w:p>
    <w:p>
      <w:pPr>
        <w:spacing w:after="120"/>
      </w:pPr>
      <w:r>
        <w:rPr>
          <w:rFonts w:ascii="Arial" w:cs="Arial" w:eastAsia="Arial" w:hAnsi="Arial"/>
          <w:sz w:val="22"/>
          <w:szCs w:val="22"/>
        </w:rPr>
        <w:t xml:space="preserve">BankID.CZ (Bankovní identita) est le service national tchèque d'identité bancaire numérique, porté par l'Association bancaire tchèque (ČBA). Il permet à un utilisateur de s'authentifier auprès d'un service tiers en réutilisant les identifiants de sa banque, et de partager avec ce tiers des données personnelles déjà vérifiées par sa banque (nom, adresse, date de naissance, documents d'identité...).</w:t>
      </w:r>
    </w:p>
    <w:p>
      <w:pPr>
        <w:spacing w:after="120"/>
      </w:pPr>
      <w:r>
        <w:rPr>
          <w:rFonts w:ascii="Arial" w:cs="Arial" w:eastAsia="Arial" w:hAnsi="Arial"/>
          <w:sz w:val="22"/>
          <w:szCs w:val="22"/>
        </w:rPr>
        <w:t xml:space="preserve">Le principe central : les banques ont déjà vérifié l'identité de leurs clients lors de l'ouverture de compte (obligation légale AML/KYC). BankID permet de réutiliser cette vérification plutôt que de la refaire soi-même.</w:t>
      </w:r>
    </w:p>
    <w:p>
      <w:pPr>
        <w:pStyle w:val="Heading2"/>
        <w:spacing w:after="160" w:before="360"/>
      </w:pPr>
      <w:r>
        <w:rPr>
          <w:rFonts w:ascii="Arial" w:cs="Arial" w:eastAsia="Arial" w:hAnsi="Arial"/>
          <w:b/>
          <w:bCs/>
          <w:color w:val="2E75B6"/>
          <w:sz w:val="28"/>
          <w:szCs w:val="28"/>
        </w:rPr>
        <w:t xml:space="preserve">1.2 Les deux rôles possibles dans l'écosystème BankID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26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Banque (IDP)</w:t>
            </w:r>
          </w:p>
        </w:tc>
        <w:tc>
          <w:tcPr>
            <w:tcW w:type="dxa" w:w="326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 Provider (SeP)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Rôle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Fournit l'identité et les données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Consomme l'identité et les données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Complexité technique</w:t>
            </w:r>
          </w:p>
        </w:tc>
        <w:tc>
          <w:tcPr>
            <w:tcW w:type="dxa" w:w="32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Très élevée (QSEAL, enregistrement dynamique)</w:t>
            </w:r>
          </w:p>
        </w:tc>
        <w:tc>
          <w:tcPr>
            <w:tcW w:type="dxa" w:w="32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Modérée (client_id/secret standard)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Notre cas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applicable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C'est notre rôle</w:t>
            </w:r>
          </w:p>
        </w:tc>
      </w:tr>
    </w:tbl>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Positionnement retenu</w:t>
            </w:r>
          </w:p>
          <w:p>
            <w:pPr>
              <w:spacing w:after="40"/>
            </w:pPr>
            <w:r>
              <w:rPr>
                <w:rFonts w:ascii="Arial" w:cs="Arial" w:eastAsia="Arial" w:hAnsi="Arial"/>
                <w:sz w:val="20"/>
                <w:szCs w:val="20"/>
              </w:rPr>
              <w:t xml:space="preserve">La solution technique décrite dans cette série de documents correspond exclusivement au rôle de Service Provider (SeP). Nous consommons l'API BankID pour vérifier l'identité de nos utilisateurs — nous n'implémentons jamais le rôle de banque.</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1.3 Pourquoi utiliser BankID plutôt qu'une vérification KYC classique ?</w:t>
      </w:r>
    </w:p>
    <w:p>
      <w:pPr>
        <w:pStyle w:val="ListParagraph"/>
        <w:numPr>
          <w:ilvl w:val="0"/>
          <w:numId w:val="2"/>
        </w:numPr>
        <w:spacing w:after="80"/>
      </w:pPr>
      <w:r>
        <w:rPr>
          <w:rFonts w:ascii="Arial" w:cs="Arial" w:eastAsia="Arial" w:hAnsi="Arial"/>
          <w:sz w:val="22"/>
          <w:szCs w:val="22"/>
        </w:rPr>
        <w:t xml:space="preserve">Les données proviennent directement de la banque de l'utilisateur — pas de ressaisie, pas d'erreur de saisie.</w:t>
      </w:r>
    </w:p>
    <w:p>
      <w:pPr>
        <w:pStyle w:val="ListParagraph"/>
        <w:numPr>
          <w:ilvl w:val="0"/>
          <w:numId w:val="2"/>
        </w:numPr>
        <w:spacing w:after="80"/>
      </w:pPr>
      <w:r>
        <w:rPr>
          <w:rFonts w:ascii="Arial" w:cs="Arial" w:eastAsia="Arial" w:hAnsi="Arial"/>
          <w:sz w:val="22"/>
          <w:szCs w:val="22"/>
        </w:rPr>
        <w:t xml:space="preserve">L'identité a déjà été vérifiée physiquement par la banque lors de l'ouverture du compte (obligation légale bancaire).</w:t>
      </w:r>
    </w:p>
    <w:p>
      <w:pPr>
        <w:pStyle w:val="ListParagraph"/>
        <w:numPr>
          <w:ilvl w:val="0"/>
          <w:numId w:val="2"/>
        </w:numPr>
        <w:spacing w:after="80"/>
      </w:pPr>
      <w:r>
        <w:rPr>
          <w:rFonts w:ascii="Arial" w:cs="Arial" w:eastAsia="Arial" w:hAnsi="Arial"/>
          <w:sz w:val="22"/>
          <w:szCs w:val="22"/>
        </w:rPr>
        <w:t xml:space="preserve">Le niveau d'assurance est élevé (LoA3) — authentification à deux facteurs systématique.</w:t>
      </w:r>
    </w:p>
    <w:p>
      <w:pPr>
        <w:pStyle w:val="ListParagraph"/>
        <w:numPr>
          <w:ilvl w:val="0"/>
          <w:numId w:val="2"/>
        </w:numPr>
        <w:spacing w:after="80"/>
      </w:pPr>
      <w:r>
        <w:rPr>
          <w:rFonts w:ascii="Arial" w:cs="Arial" w:eastAsia="Arial" w:hAnsi="Arial"/>
          <w:sz w:val="22"/>
          <w:szCs w:val="22"/>
        </w:rPr>
        <w:t xml:space="preserve">Conformité facilitée avec les obligations AML (Anti-Money Laundering) grâce au claim verified_claims fourni par BankID.</w:t>
      </w:r>
    </w:p>
    <w:p>
      <w:pPr>
        <w:spacing w:after="120"/>
      </w:pPr>
      <w:r>
        <w:rPr>
          <w:rFonts w:ascii="Arial" w:cs="Arial" w:eastAsia="Arial" w:hAnsi="Arial"/>
          <w:sz w:val="22"/>
          <w:szCs w:val="22"/>
        </w:rPr>
        <w:t xml:space="preserve"/>
      </w:r>
    </w:p>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2. Spécificités du Fonctionnement du Service</w:t>
      </w:r>
    </w:p>
    <w:p>
      <w:pPr>
        <w:pStyle w:val="Heading2"/>
        <w:spacing w:after="160" w:before="360"/>
      </w:pPr>
      <w:r>
        <w:rPr>
          <w:rFonts w:ascii="Arial" w:cs="Arial" w:eastAsia="Arial" w:hAnsi="Arial"/>
          <w:b/>
          <w:bCs/>
          <w:color w:val="2E75B6"/>
          <w:sz w:val="28"/>
          <w:szCs w:val="28"/>
        </w:rPr>
        <w:t xml:space="preserve">2.1 Le protocole sous-jacent : OAuth2 / OpenID Connect</w:t>
      </w:r>
    </w:p>
    <w:p>
      <w:pPr>
        <w:spacing w:after="120"/>
      </w:pPr>
      <w:r>
        <w:rPr>
          <w:rFonts w:ascii="Arial" w:cs="Arial" w:eastAsia="Arial" w:hAnsi="Arial"/>
          <w:sz w:val="22"/>
          <w:szCs w:val="22"/>
        </w:rPr>
        <w:t xml:space="preserve">BankID s'appuie sur les standards ouverts OAuth2 et OpenID Connect (OIDC), largement utilisés dans l'industrie (Google Sign-In, Microsoft Entra ID...). Cela signifie que l'essentiel des bibliothèques et du savoir-faire Spring Security s'applique directement, sans réinventer de protocole propriétaire.</w:t>
      </w:r>
    </w:p>
    <w:p>
      <w:pPr>
        <w:pStyle w:val="Heading2"/>
        <w:spacing w:after="160" w:before="360"/>
      </w:pPr>
      <w:r>
        <w:rPr>
          <w:rFonts w:ascii="Arial" w:cs="Arial" w:eastAsia="Arial" w:hAnsi="Arial"/>
          <w:b/>
          <w:bCs/>
          <w:color w:val="2E75B6"/>
          <w:sz w:val="28"/>
          <w:szCs w:val="28"/>
        </w:rPr>
        <w:t xml:space="preserve">2.2 Niveau d'assurance (LoA)</w:t>
      </w:r>
    </w:p>
    <w:p>
      <w:pPr>
        <w:spacing w:after="120"/>
      </w:pPr>
      <w:r>
        <w:rPr>
          <w:rFonts w:ascii="Arial" w:cs="Arial" w:eastAsia="Arial" w:hAnsi="Arial"/>
          <w:sz w:val="22"/>
          <w:szCs w:val="22"/>
        </w:rPr>
        <w:t xml:space="preserve">BankID CZ supporte le niveau d'assurance LoA3 (Level of Assurance 3), qui impose une authentification à deux facteurs indépendants — même si un niveau inférieur est demandé par le Service Provider. Concrètement, l'utilisateur s'authentifie sur le site de sa banque comme il le ferait pour sa banque en ligne, puis confirme avec un second facteur (application mobile bancaire ou code SMS).</w:t>
      </w:r>
    </w:p>
    <w:p>
      <w:pPr>
        <w:pStyle w:val="Heading2"/>
        <w:spacing w:after="160" w:before="360"/>
      </w:pPr>
      <w:r>
        <w:rPr>
          <w:rFonts w:ascii="Arial" w:cs="Arial" w:eastAsia="Arial" w:hAnsi="Arial"/>
          <w:b/>
          <w:bCs/>
          <w:color w:val="2E75B6"/>
          <w:sz w:val="28"/>
          <w:szCs w:val="28"/>
        </w:rPr>
        <w:t xml:space="preserve">2.3 Les identifiants pairwise (protection de la vie privée)</w:t>
      </w:r>
    </w:p>
    <w:p>
      <w:pPr>
        <w:spacing w:after="120"/>
      </w:pPr>
      <w:r>
        <w:rPr>
          <w:rFonts w:ascii="Arial" w:cs="Arial" w:eastAsia="Arial" w:hAnsi="Arial"/>
          <w:sz w:val="22"/>
          <w:szCs w:val="22"/>
        </w:rPr>
        <w:t xml:space="preserve">BankID utilise des identifiants "pairwise" — c'est-à-dire que le sub (identifiant unique de l'utilisateur) est différent pour chaque application qui consomme BankID. Cela empêche différents Service Providers de croiser leurs bases de données via un identifiant commun, renforçant la protection de la vie privée de l'utilisateur.</w:t>
      </w:r>
    </w:p>
    <w:p>
      <w:pPr>
        <w:pStyle w:val="Heading2"/>
        <w:spacing w:after="160" w:before="360"/>
      </w:pPr>
      <w:r>
        <w:rPr>
          <w:rFonts w:ascii="Arial" w:cs="Arial" w:eastAsia="Arial" w:hAnsi="Arial"/>
          <w:b/>
          <w:bCs/>
          <w:color w:val="2E75B6"/>
          <w:sz w:val="28"/>
          <w:szCs w:val="28"/>
        </w:rPr>
        <w:t xml:space="preserve">2.4 Le mécanisme de consentement explicite</w:t>
      </w:r>
    </w:p>
    <w:p>
      <w:pPr>
        <w:spacing w:after="120"/>
      </w:pPr>
      <w:r>
        <w:rPr>
          <w:rFonts w:ascii="Arial" w:cs="Arial" w:eastAsia="Arial" w:hAnsi="Arial"/>
          <w:sz w:val="22"/>
          <w:szCs w:val="22"/>
        </w:rPr>
        <w:t xml:space="preserve">Après authentification, BankID affiche à l'utilisateur la liste précise des données que le Service Provider demande (basée sur les scopes configurés). L'utilisateur peut consulter le détail de chaque donnée, refuser certains scopes optionnels, et doit valider explicitement le partage. Aucune donnée n'est transmise sans cette étape de consentement.</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Distinction scopes obligatoires / optionnels</w:t>
            </w:r>
          </w:p>
          <w:p>
            <w:pPr>
              <w:spacing w:after="40"/>
            </w:pPr>
            <w:r>
              <w:rPr>
                <w:rFonts w:ascii="Arial" w:cs="Arial" w:eastAsia="Arial" w:hAnsi="Arial"/>
                <w:sz w:val="20"/>
                <w:szCs w:val="20"/>
              </w:rPr>
              <w:t xml:space="preserve">Un scope configuré comme 'required' dans le portail développeur ne peut pas être refusé par l'utilisateur — s'il refuse, l'authentification échoue entièrement. Un scope 'optional' peut être refusé individuellement sans bloquer le reste du flux.</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2.5 Disponibilité variable des données selon la banque</w:t>
      </w:r>
    </w:p>
    <w:p>
      <w:pPr>
        <w:spacing w:after="120"/>
      </w:pPr>
      <w:r>
        <w:rPr>
          <w:rFonts w:ascii="Arial" w:cs="Arial" w:eastAsia="Arial" w:hAnsi="Arial"/>
          <w:sz w:val="22"/>
          <w:szCs w:val="22"/>
        </w:rPr>
        <w:t xml:space="preserve">Toutes les banques partenaires de BankID n'exposent pas exactement le même niveau de détail sur chaque scope. Par exemple, le scope paymentAccounts n'est disponible que chez certaines banques (Air Bank, mBank). Le code doit donc systématiquement traiter les claims comme potentiellement absents, même lorsque le scope a été accordé par l'utilisateur.</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Point de vigilance développement</w:t>
            </w:r>
          </w:p>
          <w:p>
            <w:pPr>
              <w:spacing w:after="40"/>
            </w:pPr>
            <w:r>
              <w:rPr>
                <w:rFonts w:ascii="Arial" w:cs="Arial" w:eastAsia="Arial" w:hAnsi="Arial"/>
                <w:sz w:val="20"/>
                <w:szCs w:val="20"/>
              </w:rPr>
              <w:t xml:space="preserve">Ne jamais supposer qu'un scope accordé garantit la présence de toutes les données associées. Exemple : idcards peut revenir vide si l'utilisateur n'a aucun document d'identité valide enregistré chez sa banque.</w:t>
            </w:r>
          </w:p>
        </w:tc>
      </w:tr>
    </w:tbl>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3. Pourquoi Deux Appels Distincts</w:t>
      </w:r>
    </w:p>
    <w:p>
      <w:pPr>
        <w:pStyle w:val="Heading2"/>
        <w:spacing w:after="160" w:before="360"/>
      </w:pPr>
      <w:r>
        <w:rPr>
          <w:rFonts w:ascii="Arial" w:cs="Arial" w:eastAsia="Arial" w:hAnsi="Arial"/>
          <w:b/>
          <w:bCs/>
          <w:color w:val="2E75B6"/>
          <w:sz w:val="28"/>
          <w:szCs w:val="28"/>
        </w:rPr>
        <w:t xml:space="preserve">3.1 Le principe : séparer ce qui transite par le navigateur de ce qui ne doit jamais y transiter</w:t>
      </w:r>
    </w:p>
    <w:p>
      <w:pPr>
        <w:spacing w:after="120"/>
      </w:pPr>
      <w:r>
        <w:rPr>
          <w:rFonts w:ascii="Arial" w:cs="Arial" w:eastAsia="Arial" w:hAnsi="Arial"/>
          <w:sz w:val="22"/>
          <w:szCs w:val="22"/>
        </w:rPr>
        <w:t xml:space="preserve">Le flux BankID (comme tout flux OAuth2 Authorization Code) repose sur deux appels fondamentalement différents, avec des responsabilités distinctes et un niveau de confiance différent :</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Appel ① — GET /auth</w:t>
            </w:r>
          </w:p>
        </w:tc>
        <w:tc>
          <w:tcPr>
            <w:tcW w:type="dxa" w:w="3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Appel ② — POST /token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Canal</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Navigateur de l'utilisateur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 à serveur (Back API ↔ BankID)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Responsabilité</w:t>
            </w:r>
          </w:p>
        </w:tc>
        <w:tc>
          <w:tcPr>
            <w:tcW w:type="dxa" w:w="3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Identifier et faire consentir l'utilisateur</w:t>
            </w:r>
          </w:p>
        </w:tc>
        <w:tc>
          <w:tcPr>
            <w:tcW w:type="dxa" w:w="3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Authentifier l'application (le serveur)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Données sensibles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 — client_id, scope, state, nonce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 client_secret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Résultat</w:t>
            </w:r>
          </w:p>
        </w:tc>
        <w:tc>
          <w:tcPr>
            <w:tcW w:type="dxa" w:w="3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 code à usage unique (~60 sec)</w:t>
            </w:r>
          </w:p>
        </w:tc>
        <w:tc>
          <w:tcPr>
            <w:tcW w:type="dxa" w:w="3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access_token + id_token + refresh_token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Visibilité</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visible (barre d'adresse, historique, logs)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Invisible du navigateur, protégé TLS 1.3</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3.2 La raison de sécurité fondamentale</w:t>
      </w:r>
    </w:p>
    <w:p>
      <w:pPr>
        <w:spacing w:after="120"/>
      </w:pPr>
      <w:r>
        <w:rPr>
          <w:rFonts w:ascii="Arial" w:cs="Arial" w:eastAsia="Arial" w:hAnsi="Arial"/>
          <w:sz w:val="22"/>
          <w:szCs w:val="22"/>
        </w:rPr>
        <w:t xml:space="preserve">Le navigateur est un environnement non fiable pour transporter des secrets : l'URL peut apparaître dans l'historique de navigation, dans les logs des serveurs web intermédiaires, ou être exposée via des extensions de navigateur. Un token d'accès transmis directement dans une URL de redirection serait exposé à un risque de vol significatif.</w:t>
      </w:r>
    </w:p>
    <w:p>
      <w:pPr>
        <w:spacing w:after="120"/>
      </w:pPr>
      <w:r>
        <w:rPr>
          <w:rFonts w:ascii="Arial" w:cs="Arial" w:eastAsia="Arial" w:hAnsi="Arial"/>
          <w:sz w:val="22"/>
          <w:szCs w:val="22"/>
        </w:rPr>
        <w:t xml:space="preserve">Le code d'autorisation reçu lors du premier appel est volontairement inutilisable seul : il ne permet d'obtenir un token qu'en le présentant conjointement avec le client_secret, connu uniquement du serveur. Ainsi, même si le code était intercepté, un attaquant ne pourrait rien en faire sans posséder également le secret de l'application.</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3.3 Schéma résumé du flux</w:t>
      </w:r>
    </w:p>
    <w:p>
      <w:pPr>
        <w:shd w:fill="F5F5F5" w:val="clear"/>
        <w:spacing w:after="60"/>
        <w:ind w:left="360"/>
      </w:pPr>
      <w:r>
        <w:rPr>
          <w:rFonts w:ascii="Courier New" w:cs="Courier New" w:eastAsia="Courier New" w:hAnsi="Courier New"/>
          <w:color w:val="1C1C1C"/>
          <w:sz w:val="18"/>
          <w:szCs w:val="18"/>
        </w:rPr>
        <w:t xml:space="preserve">Navigateur          →  BankID         GET /auth (redirection)</w:t>
      </w:r>
    </w:p>
    <w:p>
      <w:pPr>
        <w:shd w:fill="F5F5F5" w:val="clear"/>
        <w:spacing w:after="60"/>
        <w:ind w:left="360"/>
      </w:pPr>
      <w:r>
        <w:rPr>
          <w:rFonts w:ascii="Courier New" w:cs="Courier New" w:eastAsia="Courier New" w:hAnsi="Courier New"/>
          <w:color w:val="1C1C1C"/>
          <w:sz w:val="18"/>
          <w:szCs w:val="18"/>
        </w:rPr>
        <w:t xml:space="preserve">BankID               →  Navigateur      302 redirect avec state + code</w:t>
      </w:r>
    </w:p>
    <w:p>
      <w:pPr>
        <w:shd w:fill="F5F5F5" w:val="clear"/>
        <w:spacing w:after="60"/>
        <w:ind w:left="360"/>
      </w:pPr>
      <w:r>
        <w:rPr>
          <w:rFonts w:ascii="Courier New" w:cs="Courier New" w:eastAsia="Courier New" w:hAnsi="Courier New"/>
          <w:color w:val="1C1C1C"/>
          <w:sz w:val="18"/>
          <w:szCs w:val="18"/>
        </w:rPr>
        <w:t xml:space="preserve">Navigateur          →  Ta Gateway     GET /callback?code=XXX&amp;state=YYY</w:t>
      </w:r>
    </w:p>
    <w:p>
      <w:pPr>
        <w:shd w:fill="F5F5F5" w:val="clear"/>
        <w:spacing w:after="60"/>
        <w:ind w:left="360"/>
      </w:pPr>
      <w:r>
        <w:rPr>
          <w:rFonts w:ascii="Courier New" w:cs="Courier New" w:eastAsia="Courier New" w:hAnsi="Courier New"/>
          <w:color w:val="1C1C1C"/>
          <w:sz w:val="18"/>
          <w:szCs w:val="18"/>
        </w:rPr>
        <w:t xml:space="preserve">Ta Gateway          →  Back API        Transmission du code (interne)</w:t>
      </w:r>
    </w:p>
    <w:p>
      <w:pPr>
        <w:shd w:fill="F5F5F5" w:val="clear"/>
        <w:spacing w:after="60"/>
        <w:ind w:left="360"/>
      </w:pPr>
      <w:r>
        <w:rPr>
          <w:rFonts w:ascii="Courier New" w:cs="Courier New" w:eastAsia="Courier New" w:hAnsi="Courier New"/>
          <w:color w:val="1C1C1C"/>
          <w:sz w:val="18"/>
          <w:szCs w:val="18"/>
        </w:rPr>
        <w:t xml:space="preserve">Back API (serveur) →  BankID          POST /token (code + client_secret)</w:t>
      </w:r>
    </w:p>
    <w:p>
      <w:pPr>
        <w:shd w:fill="F5F5F5" w:val="clear"/>
        <w:spacing w:after="60"/>
        <w:ind w:left="360"/>
      </w:pPr>
      <w:r>
        <w:rPr>
          <w:rFonts w:ascii="Courier New" w:cs="Courier New" w:eastAsia="Courier New" w:hAnsi="Courier New"/>
          <w:color w:val="1C1C1C"/>
          <w:sz w:val="18"/>
          <w:szCs w:val="18"/>
        </w:rPr>
        <w:t xml:space="preserve">BankID               →  Back API        access_token + id_token + refresh_token</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3.4 Ce que garantit cette séparation en deux appels</w:t>
      </w:r>
    </w:p>
    <w:p>
      <w:pPr>
        <w:pStyle w:val="ListParagraph"/>
        <w:numPr>
          <w:ilvl w:val="0"/>
          <w:numId w:val="2"/>
        </w:numPr>
        <w:spacing w:after="80"/>
      </w:pPr>
      <w:r>
        <w:rPr>
          <w:rFonts w:ascii="Arial" w:cs="Arial" w:eastAsia="Arial" w:hAnsi="Arial"/>
          <w:sz w:val="22"/>
          <w:szCs w:val="22"/>
        </w:rPr>
        <w:t xml:space="preserve">Le premier appel prouve qui est l'utilisateur (authentification + consentement bancaire).</w:t>
      </w:r>
    </w:p>
    <w:p>
      <w:pPr>
        <w:pStyle w:val="ListParagraph"/>
        <w:numPr>
          <w:ilvl w:val="0"/>
          <w:numId w:val="2"/>
        </w:numPr>
        <w:spacing w:after="80"/>
      </w:pPr>
      <w:r>
        <w:rPr>
          <w:rFonts w:ascii="Arial" w:cs="Arial" w:eastAsia="Arial" w:hAnsi="Arial"/>
          <w:sz w:val="22"/>
          <w:szCs w:val="22"/>
        </w:rPr>
        <w:t xml:space="preserve">Le second appel prouve qui est l'application qui demande les tokens (authentification du serveur).</w:t>
      </w:r>
    </w:p>
    <w:p>
      <w:pPr>
        <w:pStyle w:val="ListParagraph"/>
        <w:numPr>
          <w:ilvl w:val="0"/>
          <w:numId w:val="2"/>
        </w:numPr>
        <w:spacing w:after="80"/>
      </w:pPr>
      <w:r>
        <w:rPr>
          <w:rFonts w:ascii="Arial" w:cs="Arial" w:eastAsia="Arial" w:hAnsi="Arial"/>
          <w:sz w:val="22"/>
          <w:szCs w:val="22"/>
        </w:rPr>
        <w:t xml:space="preserve">Les deux ensemble garantissent que les tokens ne peuvent être délivrés qu'à la bonne application, pour le bon utilisateur, et jamais interceptés en transit côté navigateur.</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À retenir</w:t>
            </w:r>
          </w:p>
          <w:p>
            <w:pPr>
              <w:spacing w:after="40"/>
            </w:pPr>
            <w:r>
              <w:rPr>
                <w:rFonts w:ascii="Arial" w:cs="Arial" w:eastAsia="Arial" w:hAnsi="Arial"/>
                <w:sz w:val="20"/>
                <w:szCs w:val="20"/>
              </w:rPr>
              <w:t xml:space="preserve">Ce découpage en deux appels n'est pas une complexité arbitraire de BankID — c'est le mécanisme de sécurité central du flux OAuth2 Authorization Code, utilisé de la même manière par Google, Microsoft ou n'importe quel fournisseur d'identité standard.</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0"/>
    </w:pPr>
    <w:r>
      <w:rPr>
        <w:rFonts w:ascii="Arial" w:cs="Arial" w:eastAsia="Arial" w:hAnsi="Arial"/>
        <w:color w:val="777777"/>
        <w:sz w:val="18"/>
        <w:szCs w:val="18"/>
      </w:rPr>
      <w:t xml:space="preserve">Confidentiel – Usage interne</w:t>
    </w:r>
    <w:r>
      <w:rPr>
        <w:rFonts w:ascii="Arial" w:cs="Arial" w:eastAsia="Arial" w:hAnsi="Arial"/>
        <w:color w:val="777777"/>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777777"/>
        <w:sz w:val="18"/>
        <w:szCs w:val="18"/>
      </w:rPr>
      <w:t xml:space="preserve">BankID CZ – Documentation Explicative  |  Doc.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2026-07-03T19:31:47.591Z</dcterms:created>
  <dcterms:modified xsi:type="dcterms:W3CDTF">2026-07-03T19:31:47.611Z</dcterms:modified>
</cp:coreProperties>
</file>

<file path=docProps/custom.xml><?xml version="1.0" encoding="utf-8"?>
<Properties xmlns="http://schemas.openxmlformats.org/officeDocument/2006/custom-properties" xmlns:vt="http://schemas.openxmlformats.org/officeDocument/2006/docPropsVTypes"/>
</file>