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72"/>
          <w:szCs w:val="72"/>
        </w:rPr>
        <w:t xml:space="preserve">BankID.CZ</w:t>
      </w:r>
    </w:p>
    <w:p>
      <w:pPr>
        <w:spacing w:after="200"/>
        <w:jc w:val="center"/>
      </w:pPr>
      <w:r>
        <w:rPr>
          <w:rFonts w:ascii="Arial" w:cs="Arial" w:eastAsia="Arial" w:hAnsi="Arial"/>
          <w:color w:val="2E75B6"/>
          <w:sz w:val="40"/>
          <w:szCs w:val="40"/>
        </w:rPr>
        <w:t xml:space="preserve">Documentation Sécurité 1</w:t>
      </w:r>
    </w:p>
    <w:p>
      <w:pPr>
        <w:spacing w:after="120"/>
        <w:jc w:val="center"/>
      </w:pPr>
      <w:r>
        <w:rPr>
          <w:rFonts w:ascii="Arial" w:cs="Arial" w:eastAsia="Arial" w:hAnsi="Arial"/>
          <w:color w:val="555555"/>
          <w:sz w:val="28"/>
          <w:szCs w:val="28"/>
        </w:rPr>
        <w:t xml:space="preserve">Contexte, Credentials, Architecture et Flux OAuth2</w:t>
      </w:r>
    </w:p>
    <w:p>
      <w:pPr>
        <w:spacing w:after="600"/>
        <w:jc w:val="center"/>
      </w:pPr>
      <w:r>
        <w:rPr>
          <w:rFonts w:ascii="Arial" w:cs="Arial" w:eastAsia="Arial" w:hAnsi="Arial"/>
          <w:i/>
          <w:iCs/>
          <w:color w:val="888888"/>
          <w:sz w:val="24"/>
          <w:szCs w:val="24"/>
        </w:rPr>
        <w:t xml:space="preserve">Document 2 / 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Rôle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Service Provider (SeP)</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Stack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Java 17 · Spring Boot 4</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Mai 2026</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1. Contexte et Périmètre</w:t>
      </w:r>
    </w:p>
    <w:p>
      <w:pPr>
        <w:pStyle w:val="Heading2"/>
        <w:spacing w:after="160" w:before="360"/>
      </w:pPr>
      <w:r>
        <w:rPr>
          <w:rFonts w:ascii="Arial" w:cs="Arial" w:eastAsia="Arial" w:hAnsi="Arial"/>
          <w:b/>
          <w:bCs/>
          <w:color w:val="2E75B6"/>
          <w:sz w:val="28"/>
          <w:szCs w:val="28"/>
        </w:rPr>
        <w:t xml:space="preserve">1.1 Positionnement en tant que Service Provider</w:t>
      </w:r>
    </w:p>
    <w:p>
      <w:pPr>
        <w:spacing w:after="120"/>
      </w:pPr>
      <w:r>
        <w:rPr>
          <w:rFonts w:ascii="Arial" w:cs="Arial" w:eastAsia="Arial" w:hAnsi="Arial"/>
          <w:sz w:val="22"/>
          <w:szCs w:val="22"/>
        </w:rPr>
        <w:t xml:space="preserve">Contrairement au rôle de banque (IDP), qui implique de gérer toute l'infrastructure d'authentification OpenID Connect, le rôle de Service Provider (SeP) est celui d'un consommateur de l'écosystème BankID. Le SeP utilise BankID comme source d'identité vérifiée pour ses propres clients, sans avoir à gérer la cryptographie bancaire avancée.</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Ce que nous sommes</w:t>
            </w:r>
          </w:p>
          <w:p>
            <w:pPr>
              <w:spacing w:after="40"/>
            </w:pPr>
            <w:r>
              <w:rPr>
                <w:rFonts w:ascii="Arial" w:cs="Arial" w:eastAsia="Arial" w:hAnsi="Arial"/>
                <w:sz w:val="20"/>
                <w:szCs w:val="20"/>
              </w:rPr>
              <w:t xml:space="preserve">Un Service Provider (SeP) : nous consommons l'API BankID pour vérifier l'identité de nos utilisateurs. BankID et les banques gèrent la cryptographie lourde (signature QSEAL des JWT). Nous recevons des données déjà vérifiées.</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1.2 Ce que fait le système, de bout en bout</w:t>
      </w:r>
    </w:p>
    <w:p>
      <w:pPr>
        <w:pStyle w:val="ListParagraph"/>
        <w:numPr>
          <w:ilvl w:val="0"/>
          <w:numId w:val="2"/>
        </w:numPr>
        <w:spacing w:after="80"/>
      </w:pPr>
      <w:r>
        <w:rPr>
          <w:rFonts w:ascii="Arial" w:cs="Arial" w:eastAsia="Arial" w:hAnsi="Arial"/>
          <w:sz w:val="22"/>
          <w:szCs w:val="22"/>
        </w:rPr>
        <w:t xml:space="preserve">L'utilisateur initie une vérification d'identité depuis notre application.</w:t>
      </w:r>
    </w:p>
    <w:p>
      <w:pPr>
        <w:pStyle w:val="ListParagraph"/>
        <w:numPr>
          <w:ilvl w:val="0"/>
          <w:numId w:val="2"/>
        </w:numPr>
        <w:spacing w:after="80"/>
      </w:pPr>
      <w:r>
        <w:rPr>
          <w:rFonts w:ascii="Arial" w:cs="Arial" w:eastAsia="Arial" w:hAnsi="Arial"/>
          <w:sz w:val="22"/>
          <w:szCs w:val="22"/>
        </w:rPr>
        <w:t xml:space="preserve">Il est redirigé vers BankID où il s'authentifie auprès de sa banque.</w:t>
      </w:r>
    </w:p>
    <w:p>
      <w:pPr>
        <w:pStyle w:val="ListParagraph"/>
        <w:numPr>
          <w:ilvl w:val="0"/>
          <w:numId w:val="2"/>
        </w:numPr>
        <w:spacing w:after="80"/>
      </w:pPr>
      <w:r>
        <w:rPr>
          <w:rFonts w:ascii="Arial" w:cs="Arial" w:eastAsia="Arial" w:hAnsi="Arial"/>
          <w:sz w:val="22"/>
          <w:szCs w:val="22"/>
        </w:rPr>
        <w:t xml:space="preserve">Il consent à partager les données qu'il choisit (scopes sélectionnés).</w:t>
      </w:r>
    </w:p>
    <w:p>
      <w:pPr>
        <w:pStyle w:val="ListParagraph"/>
        <w:numPr>
          <w:ilvl w:val="0"/>
          <w:numId w:val="2"/>
        </w:numPr>
        <w:spacing w:after="80"/>
      </w:pPr>
      <w:r>
        <w:rPr>
          <w:rFonts w:ascii="Arial" w:cs="Arial" w:eastAsia="Arial" w:hAnsi="Arial"/>
          <w:sz w:val="22"/>
          <w:szCs w:val="22"/>
        </w:rPr>
        <w:t xml:space="preserve">Notre système reçoit un code d'autorisation via callback.</w:t>
      </w:r>
    </w:p>
    <w:p>
      <w:pPr>
        <w:pStyle w:val="ListParagraph"/>
        <w:numPr>
          <w:ilvl w:val="0"/>
          <w:numId w:val="2"/>
        </w:numPr>
        <w:spacing w:after="80"/>
      </w:pPr>
      <w:r>
        <w:rPr>
          <w:rFonts w:ascii="Arial" w:cs="Arial" w:eastAsia="Arial" w:hAnsi="Arial"/>
          <w:sz w:val="22"/>
          <w:szCs w:val="22"/>
        </w:rPr>
        <w:t xml:space="preserve">Le code est échangé contre un access_token et un refresh_token.</w:t>
      </w:r>
    </w:p>
    <w:p>
      <w:pPr>
        <w:pStyle w:val="ListParagraph"/>
        <w:numPr>
          <w:ilvl w:val="0"/>
          <w:numId w:val="2"/>
        </w:numPr>
        <w:spacing w:after="80"/>
      </w:pPr>
      <w:r>
        <w:rPr>
          <w:rFonts w:ascii="Arial" w:cs="Arial" w:eastAsia="Arial" w:hAnsi="Arial"/>
          <w:sz w:val="22"/>
          <w:szCs w:val="22"/>
        </w:rPr>
        <w:t xml:space="preserve">L'appel /userinfo retourne les données KYC vérifiées.</w:t>
      </w:r>
    </w:p>
    <w:p>
      <w:pPr>
        <w:pStyle w:val="ListParagraph"/>
        <w:numPr>
          <w:ilvl w:val="0"/>
          <w:numId w:val="2"/>
        </w:numPr>
        <w:spacing w:after="80"/>
      </w:pPr>
      <w:r>
        <w:rPr>
          <w:rFonts w:ascii="Arial" w:cs="Arial" w:eastAsia="Arial" w:hAnsi="Arial"/>
          <w:sz w:val="22"/>
          <w:szCs w:val="22"/>
        </w:rPr>
        <w:t xml:space="preserve">Les données sont stockées chiffrées (fichier JSON, AES-256-GCM) pendant une durée limitée.</w:t>
      </w:r>
    </w:p>
    <w:p>
      <w:pPr>
        <w:pStyle w:val="ListParagraph"/>
        <w:numPr>
          <w:ilvl w:val="0"/>
          <w:numId w:val="2"/>
        </w:numPr>
        <w:spacing w:after="80"/>
      </w:pPr>
      <w:r>
        <w:rPr>
          <w:rFonts w:ascii="Arial" w:cs="Arial" w:eastAsia="Arial" w:hAnsi="Arial"/>
          <w:sz w:val="22"/>
          <w:szCs w:val="22"/>
        </w:rPr>
        <w:t xml:space="preserve">Les applications internes accèdent aux données via notre Back API (JWT interne).</w:t>
      </w:r>
    </w:p>
    <w:p>
      <w:pPr>
        <w:pStyle w:val="ListParagraph"/>
        <w:numPr>
          <w:ilvl w:val="0"/>
          <w:numId w:val="2"/>
        </w:numPr>
        <w:spacing w:after="80"/>
      </w:pPr>
      <w:r>
        <w:rPr>
          <w:rFonts w:ascii="Arial" w:cs="Arial" w:eastAsia="Arial" w:hAnsi="Arial"/>
          <w:sz w:val="22"/>
          <w:szCs w:val="22"/>
        </w:rPr>
        <w:t xml:space="preserve">Un batch purge automatiquement les fichiers après expiration.</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1.3 Stack technique retenue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17 (LTS)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Boot 4 / Spring Framework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Gateway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Sécurité inter-services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Security 6 + JWT interne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BankID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WebClient (Reactor Netty, TLS 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Chiffrement fichiers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AES-256-GCM (javax.crypto)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fichiers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Système de fichiers local (JSON chiffré par sujet)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Scheduler purge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@Scheduled ou Spring Batch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 3.9+</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2. Démarrage et Obtention des Credentials</w:t>
      </w:r>
    </w:p>
    <w:p>
      <w:pPr>
        <w:spacing w:after="120"/>
      </w:pPr>
      <w:r>
        <w:rPr>
          <w:rFonts w:ascii="Arial" w:cs="Arial" w:eastAsia="Arial" w:hAnsi="Arial"/>
          <w:sz w:val="22"/>
          <w:szCs w:val="22"/>
        </w:rPr>
        <w:t xml:space="preserve">Contrairement au rôle de banque (enregistrement dynamique complexe avec mTLS), le SeP s'enregistre via le portail développeur BankID. BankID fournit directement un client_id et un client_secret.</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2.1 Étapes d'enregistrement (portail developer.bankid.cz)</w:t>
      </w:r>
    </w:p>
    <w:p>
      <w:pPr>
        <w:pStyle w:val="ListParagraph"/>
        <w:numPr>
          <w:ilvl w:val="0"/>
          <w:numId w:val="3"/>
        </w:numPr>
        <w:spacing w:after="80"/>
      </w:pPr>
      <w:r>
        <w:rPr>
          <w:rFonts w:ascii="Arial" w:cs="Arial" w:eastAsia="Arial" w:hAnsi="Arial"/>
          <w:sz w:val="22"/>
          <w:szCs w:val="22"/>
        </w:rPr>
        <w:t xml:space="preserve">Créer un compte sur https://developer.bankid.cz/register</w:t>
      </w:r>
    </w:p>
    <w:p>
      <w:pPr>
        <w:pStyle w:val="ListParagraph"/>
        <w:numPr>
          <w:ilvl w:val="0"/>
          <w:numId w:val="3"/>
        </w:numPr>
        <w:spacing w:after="80"/>
      </w:pPr>
      <w:r>
        <w:rPr>
          <w:rFonts w:ascii="Arial" w:cs="Arial" w:eastAsia="Arial" w:hAnsi="Arial"/>
          <w:sz w:val="22"/>
          <w:szCs w:val="22"/>
        </w:rPr>
        <w:t xml:space="preserve">Créer une application (nom + logo optionnel) — accès sandbox automatique.</w:t>
      </w:r>
    </w:p>
    <w:p>
      <w:pPr>
        <w:pStyle w:val="ListParagraph"/>
        <w:numPr>
          <w:ilvl w:val="0"/>
          <w:numId w:val="3"/>
        </w:numPr>
        <w:spacing w:after="80"/>
      </w:pPr>
      <w:r>
        <w:rPr>
          <w:rFonts w:ascii="Arial" w:cs="Arial" w:eastAsia="Arial" w:hAnsi="Arial"/>
          <w:sz w:val="22"/>
          <w:szCs w:val="22"/>
        </w:rPr>
        <w:t xml:space="preserve">Configurer les paramètres OIDC : Redirect URIs (obligatoire), scopes requis.</w:t>
      </w:r>
    </w:p>
    <w:p>
      <w:pPr>
        <w:pStyle w:val="ListParagraph"/>
        <w:numPr>
          <w:ilvl w:val="0"/>
          <w:numId w:val="3"/>
        </w:numPr>
        <w:spacing w:after="80"/>
      </w:pPr>
      <w:r>
        <w:rPr>
          <w:rFonts w:ascii="Arial" w:cs="Arial" w:eastAsia="Arial" w:hAnsi="Arial"/>
          <w:sz w:val="22"/>
          <w:szCs w:val="22"/>
        </w:rPr>
        <w:t xml:space="preserve">Obtenir les credentials : client_id et client_secret (uniques par environnement).</w:t>
      </w:r>
    </w:p>
    <w:p>
      <w:pPr>
        <w:pStyle w:val="ListParagraph"/>
        <w:numPr>
          <w:ilvl w:val="0"/>
          <w:numId w:val="3"/>
        </w:numPr>
        <w:spacing w:after="80"/>
      </w:pPr>
      <w:r>
        <w:rPr>
          <w:rFonts w:ascii="Arial" w:cs="Arial" w:eastAsia="Arial" w:hAnsi="Arial"/>
          <w:sz w:val="22"/>
          <w:szCs w:val="22"/>
        </w:rPr>
        <w:t xml:space="preserve">Créer une organisation (nécessaire pour la production, contrats à signer).</w:t>
      </w:r>
    </w:p>
    <w:p>
      <w:pPr>
        <w:pStyle w:val="ListParagraph"/>
        <w:numPr>
          <w:ilvl w:val="0"/>
          <w:numId w:val="3"/>
        </w:numPr>
        <w:spacing w:after="80"/>
      </w:pPr>
      <w:r>
        <w:rPr>
          <w:rFonts w:ascii="Arial" w:cs="Arial" w:eastAsia="Arial" w:hAnsi="Arial"/>
          <w:sz w:val="22"/>
          <w:szCs w:val="22"/>
        </w:rPr>
        <w:t xml:space="preserve">Configurer l'environnement de production une fois les contrats signés.</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Sandbox vs Production</w:t>
            </w:r>
          </w:p>
          <w:p>
            <w:pPr>
              <w:spacing w:after="40"/>
            </w:pPr>
            <w:r>
              <w:rPr>
                <w:rFonts w:ascii="Arial" w:cs="Arial" w:eastAsia="Arial" w:hAnsi="Arial"/>
                <w:sz w:val="20"/>
                <w:szCs w:val="20"/>
              </w:rPr>
              <w:t xml:space="preserve">Le client_secret sandbox et production sont DIFFÉRENTS — ne jamais utiliser le secret sandbox en production. En sandbox, les utilisateurs de test sont préconfigurés par BankID. La production nécessite une organisation créée et des contrats signés avec BankID.</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2.2 Ce que l'on reçoit de BankID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Fourni par</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BankID (portail)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de l'application dans tous les appels OAuth2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client_secret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BankID (portail)</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partagé pour l'authentification au /token endpoint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 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BankID (portail)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toutes les URLs OIDC (auth, token, userinfo, jwks...)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Redirect URI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Nous (à configurer)</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 de callback après authentification utilisateur</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2.3 Configuration Spring Boot</w:t>
      </w:r>
    </w:p>
    <w:p>
      <w:pPr>
        <w:shd w:fill="F5F5F5" w:val="clear"/>
        <w:spacing w:after="60"/>
        <w:ind w:left="360"/>
      </w:pPr>
      <w:r>
        <w:rPr>
          <w:rFonts w:ascii="Courier New" w:cs="Courier New" w:eastAsia="Courier New" w:hAnsi="Courier New"/>
          <w:color w:val="1C1C1C"/>
          <w:sz w:val="18"/>
          <w:szCs w:val="18"/>
        </w:rPr>
        <w:t xml:space="preserve"># application.yml</w:t>
      </w:r>
    </w:p>
    <w:p>
      <w:pPr>
        <w:shd w:fill="F5F5F5" w:val="clear"/>
        <w:spacing w:after="60"/>
        <w:ind w:left="360"/>
      </w:pPr>
      <w:r>
        <w:rPr>
          <w:rFonts w:ascii="Courier New" w:cs="Courier New" w:eastAsia="Courier New" w:hAnsi="Courier New"/>
          <w:color w:val="1C1C1C"/>
          <w:sz w:val="18"/>
          <w:szCs w:val="18"/>
        </w:rPr>
        <w:t xml:space="preserve">bankid:</w:t>
      </w:r>
    </w:p>
    <w:p>
      <w:pPr>
        <w:shd w:fill="F5F5F5" w:val="clear"/>
        <w:spacing w:after="60"/>
        <w:ind w:left="360"/>
      </w:pPr>
      <w:r>
        <w:rPr>
          <w:rFonts w:ascii="Courier New" w:cs="Courier New" w:eastAsia="Courier New" w:hAnsi="Courier New"/>
          <w:color w:val="1C1C1C"/>
          <w:sz w:val="18"/>
          <w:szCs w:val="18"/>
        </w:rPr>
        <w:t xml:space="preserve">  base-url: https://oidc.sandbox.bankid.cz</w:t>
      </w:r>
    </w:p>
    <w:p>
      <w:pPr>
        <w:shd w:fill="F5F5F5" w:val="clear"/>
        <w:spacing w:after="60"/>
        <w:ind w:left="360"/>
      </w:pPr>
      <w:r>
        <w:rPr>
          <w:rFonts w:ascii="Courier New" w:cs="Courier New" w:eastAsia="Courier New" w:hAnsi="Courier New"/>
          <w:color w:val="1C1C1C"/>
          <w:sz w:val="18"/>
          <w:szCs w:val="18"/>
        </w:rPr>
        <w:t xml:space="preserve">  client-id: ${BANKID_CLIENT_ID}</w:t>
      </w:r>
    </w:p>
    <w:p>
      <w:pPr>
        <w:shd w:fill="F5F5F5" w:val="clear"/>
        <w:spacing w:after="60"/>
        <w:ind w:left="360"/>
      </w:pPr>
      <w:r>
        <w:rPr>
          <w:rFonts w:ascii="Courier New" w:cs="Courier New" w:eastAsia="Courier New" w:hAnsi="Courier New"/>
          <w:color w:val="1C1C1C"/>
          <w:sz w:val="18"/>
          <w:szCs w:val="18"/>
        </w:rPr>
        <w:t xml:space="preserve">  client-secret: ${BANKID_CLIENT_SECRET}</w:t>
      </w:r>
    </w:p>
    <w:p>
      <w:pPr>
        <w:shd w:fill="F5F5F5" w:val="clear"/>
        <w:spacing w:after="60"/>
        <w:ind w:left="360"/>
      </w:pPr>
      <w:r>
        <w:rPr>
          <w:rFonts w:ascii="Courier New" w:cs="Courier New" w:eastAsia="Courier New" w:hAnsi="Courier New"/>
          <w:color w:val="1C1C1C"/>
          <w:sz w:val="18"/>
          <w:szCs w:val="18"/>
        </w:rPr>
        <w:t xml:space="preserve">  redirect-uri: https://kyc.notre-domaine.com/callback</w:t>
      </w:r>
    </w:p>
    <w:p>
      <w:pPr>
        <w:shd w:fill="F5F5F5" w:val="clear"/>
        <w:spacing w:after="60"/>
        <w:ind w:left="360"/>
      </w:pPr>
      <w:r>
        <w:rPr>
          <w:rFonts w:ascii="Courier New" w:cs="Courier New" w:eastAsia="Courier New" w:hAnsi="Courier New"/>
          <w:color w:val="1C1C1C"/>
          <w:sz w:val="18"/>
          <w:szCs w:val="18"/>
        </w:rPr>
        <w:t xml:space="preserve">  scopes: openid name birthdate addresses idcards legalstatus offline_access</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kyc:</w:t>
      </w:r>
    </w:p>
    <w:p>
      <w:pPr>
        <w:shd w:fill="F5F5F5" w:val="clear"/>
        <w:spacing w:after="60"/>
        <w:ind w:left="360"/>
      </w:pPr>
      <w:r>
        <w:rPr>
          <w:rFonts w:ascii="Courier New" w:cs="Courier New" w:eastAsia="Courier New" w:hAnsi="Courier New"/>
          <w:color w:val="1C1C1C"/>
          <w:sz w:val="18"/>
          <w:szCs w:val="18"/>
        </w:rPr>
        <w:t xml:space="preserve">  storage-path: /data/kyc-files</w:t>
      </w:r>
    </w:p>
    <w:p>
      <w:pPr>
        <w:shd w:fill="F5F5F5" w:val="clear"/>
        <w:spacing w:after="60"/>
        <w:ind w:left="360"/>
      </w:pPr>
      <w:r>
        <w:rPr>
          <w:rFonts w:ascii="Courier New" w:cs="Courier New" w:eastAsia="Courier New" w:hAnsi="Courier New"/>
          <w:color w:val="1C1C1C"/>
          <w:sz w:val="18"/>
          <w:szCs w:val="18"/>
        </w:rPr>
        <w:t xml:space="preserve">  retention-days: 30</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jwt:</w:t>
      </w:r>
    </w:p>
    <w:p>
      <w:pPr>
        <w:shd w:fill="F5F5F5" w:val="clear"/>
        <w:spacing w:after="60"/>
        <w:ind w:left="360"/>
      </w:pPr>
      <w:r>
        <w:rPr>
          <w:rFonts w:ascii="Courier New" w:cs="Courier New" w:eastAsia="Courier New" w:hAnsi="Courier New"/>
          <w:color w:val="1C1C1C"/>
          <w:sz w:val="18"/>
          <w:szCs w:val="18"/>
        </w:rPr>
        <w:t xml:space="preserve">  internal-secret: ${JWT_INTERNAL_SECRET}</w:t>
      </w:r>
    </w:p>
    <w:p>
      <w:pPr>
        <w:shd w:fill="F5F5F5" w:val="clear"/>
        <w:spacing w:after="60"/>
        <w:ind w:left="360"/>
      </w:pPr>
      <w:r>
        <w:rPr>
          <w:rFonts w:ascii="Courier New" w:cs="Courier New" w:eastAsia="Courier New" w:hAnsi="Courier New"/>
          <w:color w:val="1C1C1C"/>
          <w:sz w:val="18"/>
          <w:szCs w:val="18"/>
        </w:rPr>
        <w:t xml:space="preserve">  expiration-hours: 24</w:t>
      </w:r>
    </w:p>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3. Architecture en 3 Projets</w:t>
      </w:r>
    </w:p>
    <w:p>
      <w:pPr>
        <w:pStyle w:val="Heading2"/>
        <w:spacing w:after="160" w:before="360"/>
      </w:pPr>
      <w:r>
        <w:rPr>
          <w:rFonts w:ascii="Arial" w:cs="Arial" w:eastAsia="Arial" w:hAnsi="Arial"/>
          <w:b/>
          <w:bCs/>
          <w:color w:val="2E75B6"/>
          <w:sz w:val="28"/>
          <w:szCs w:val="28"/>
        </w:rPr>
        <w:t xml:space="preserve">3.1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Projet</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Technologies clés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bankid-gateway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d'entrée unique. Route les requêtes, valide le JWT interne, reçoit le callback BankID.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Gateway, Spring Security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bankid-back-api</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Cœur métier. Flux OAuth2 BankID, stockage KYC chiffré, exposition API interne.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Boot, WebClient, AES-256-GCM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bankid-batch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Purge planifiée. Scan des fichiers, révocation tokens, journalisation audit.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Batch ou @Scheduled</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3.2 Flux des requêtes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Flux d'une authentification KYC complète</w:t>
            </w:r>
          </w:p>
          <w:p>
            <w:pPr>
              <w:spacing w:after="40"/>
            </w:pPr>
            <w:r>
              <w:rPr>
                <w:rFonts w:ascii="Arial" w:cs="Arial" w:eastAsia="Arial" w:hAnsi="Arial"/>
                <w:sz w:val="20"/>
                <w:szCs w:val="20"/>
              </w:rPr>
              <w:t xml:space="preserve">① Utilisateur → Gateway : GET /kyc/start
② Gateway → Back API : GET /api/kyc/auth-url (route interne)
③ Back API → Gateway : retourne URL /auth BankID
④ Gateway → Utilisateur : 302 redirect vers BankID
⑤ BankID → Gateway : callback GET /callback?code=...&amp;state=...
⑥ Gateway → Back API : POST /api/kyc/callback (route interne)
⑦ Back API → BankID : POST /token (échange code → tokens)
⑧ Back API → BankID : GET /userinfo (récupération données KYC)
⑨ Back API : chiffrement AES-256-GCM → écriture fichier JSON sur disque
⑩ Back API → Gateway → Utilisateur : confirmation succès</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3.3 Sécurité inter-services</w:t>
      </w:r>
    </w:p>
    <w:p>
      <w:pPr>
        <w:spacing w:after="120"/>
      </w:pPr>
      <w:r>
        <w:rPr>
          <w:rFonts w:ascii="Arial" w:cs="Arial" w:eastAsia="Arial" w:hAnsi="Arial"/>
          <w:sz w:val="22"/>
          <w:szCs w:val="22"/>
        </w:rPr>
        <w:t xml:space="preserve">Le Back API n'est jamais exposé directement — toutes les communications passent par la Gateway. Les appels du Batch vers le Back API utilisent un JWT interne signé avec un secret partagé, distinct des tokens BankID.</w:t>
      </w:r>
    </w:p>
    <w:p>
      <w:pPr>
        <w:spacing w:after="120"/>
      </w:pPr>
      <w:r>
        <w:rPr>
          <w:rFonts w:ascii="Arial" w:cs="Arial" w:eastAsia="Arial" w:hAnsi="Arial"/>
          <w:sz w:val="22"/>
          <w:szCs w:val="22"/>
        </w:rPr>
        <w:t xml:space="preserve"/>
      </w:r>
    </w:p>
    <w:p>
      <w:pPr>
        <w:shd w:fill="F5F5F5" w:val="clear"/>
        <w:spacing w:after="60"/>
        <w:ind w:left="360"/>
      </w:pPr>
      <w:r>
        <w:rPr>
          <w:rFonts w:ascii="Courier New" w:cs="Courier New" w:eastAsia="Courier New" w:hAnsi="Courier New"/>
          <w:color w:val="1C1C1C"/>
          <w:sz w:val="18"/>
          <w:szCs w:val="18"/>
        </w:rPr>
        <w:t xml:space="preserve">// Génération du JWT interne (Batch → Back API)</w:t>
      </w:r>
    </w:p>
    <w:p>
      <w:pPr>
        <w:shd w:fill="F5F5F5" w:val="clear"/>
        <w:spacing w:after="60"/>
        <w:ind w:left="360"/>
      </w:pPr>
      <w:r>
        <w:rPr>
          <w:rFonts w:ascii="Courier New" w:cs="Courier New" w:eastAsia="Courier New" w:hAnsi="Courier New"/>
          <w:color w:val="1C1C1C"/>
          <w:sz w:val="18"/>
          <w:szCs w:val="18"/>
        </w:rPr>
        <w:t xml:space="preserve">String internalToken = Jwts.builder()</w:t>
      </w:r>
    </w:p>
    <w:p>
      <w:pPr>
        <w:shd w:fill="F5F5F5" w:val="clear"/>
        <w:spacing w:after="60"/>
        <w:ind w:left="360"/>
      </w:pPr>
      <w:r>
        <w:rPr>
          <w:rFonts w:ascii="Courier New" w:cs="Courier New" w:eastAsia="Courier New" w:hAnsi="Courier New"/>
          <w:color w:val="1C1C1C"/>
          <w:sz w:val="18"/>
          <w:szCs w:val="18"/>
        </w:rPr>
        <w:t xml:space="preserve">    .setSubject("bankid-batch")</w:t>
      </w:r>
    </w:p>
    <w:p>
      <w:pPr>
        <w:shd w:fill="F5F5F5" w:val="clear"/>
        <w:spacing w:after="60"/>
        <w:ind w:left="360"/>
      </w:pPr>
      <w:r>
        <w:rPr>
          <w:rFonts w:ascii="Courier New" w:cs="Courier New" w:eastAsia="Courier New" w:hAnsi="Courier New"/>
          <w:color w:val="1C1C1C"/>
          <w:sz w:val="18"/>
          <w:szCs w:val="18"/>
        </w:rPr>
        <w:t xml:space="preserve">    .claim("role", "INTERNAL_SERVICE")</w:t>
      </w:r>
    </w:p>
    <w:p>
      <w:pPr>
        <w:shd w:fill="F5F5F5" w:val="clear"/>
        <w:spacing w:after="60"/>
        <w:ind w:left="360"/>
      </w:pPr>
      <w:r>
        <w:rPr>
          <w:rFonts w:ascii="Courier New" w:cs="Courier New" w:eastAsia="Courier New" w:hAnsi="Courier New"/>
          <w:color w:val="1C1C1C"/>
          <w:sz w:val="18"/>
          <w:szCs w:val="18"/>
        </w:rPr>
        <w:t xml:space="preserve">    .setIssuedAt(new Date())</w:t>
      </w:r>
    </w:p>
    <w:p>
      <w:pPr>
        <w:shd w:fill="F5F5F5" w:val="clear"/>
        <w:spacing w:after="60"/>
        <w:ind w:left="360"/>
      </w:pPr>
      <w:r>
        <w:rPr>
          <w:rFonts w:ascii="Courier New" w:cs="Courier New" w:eastAsia="Courier New" w:hAnsi="Courier New"/>
          <w:color w:val="1C1C1C"/>
          <w:sz w:val="18"/>
          <w:szCs w:val="18"/>
        </w:rPr>
        <w:t xml:space="preserve">    .setExpiration(Date.from(Instant.now().plusSeconds(3600)))</w:t>
      </w:r>
    </w:p>
    <w:p>
      <w:pPr>
        <w:shd w:fill="F5F5F5" w:val="clear"/>
        <w:spacing w:after="60"/>
        <w:ind w:left="360"/>
      </w:pPr>
      <w:r>
        <w:rPr>
          <w:rFonts w:ascii="Courier New" w:cs="Courier New" w:eastAsia="Courier New" w:hAnsi="Courier New"/>
          <w:color w:val="1C1C1C"/>
          <w:sz w:val="18"/>
          <w:szCs w:val="18"/>
        </w:rPr>
        <w:t xml:space="preserve">    .signWith(SignatureAlgorithm.HS512, internalSecret)</w:t>
      </w:r>
    </w:p>
    <w:p>
      <w:pPr>
        <w:shd w:fill="F5F5F5" w:val="clear"/>
        <w:spacing w:after="60"/>
        <w:ind w:left="360"/>
      </w:pPr>
      <w:r>
        <w:rPr>
          <w:rFonts w:ascii="Courier New" w:cs="Courier New" w:eastAsia="Courier New" w:hAnsi="Courier New"/>
          <w:color w:val="1C1C1C"/>
          <w:sz w:val="18"/>
          <w:szCs w:val="18"/>
        </w:rPr>
        <w:t xml:space="preserve">    .compact();</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Validation dans Back API (Spring Security)</w:t>
      </w:r>
    </w:p>
    <w:p>
      <w:pPr>
        <w:shd w:fill="F5F5F5" w:val="clear"/>
        <w:spacing w:after="60"/>
        <w:ind w:left="360"/>
      </w:pPr>
      <w:r>
        <w:rPr>
          <w:rFonts w:ascii="Courier New" w:cs="Courier New" w:eastAsia="Courier New" w:hAnsi="Courier New"/>
          <w:color w:val="1C1C1C"/>
          <w:sz w:val="18"/>
          <w:szCs w:val="18"/>
        </w:rPr>
        <w:t xml:space="preserve">@PreAuthorize("hasRole('INTERNAL_SERVICE')")</w:t>
      </w:r>
    </w:p>
    <w:p>
      <w:pPr>
        <w:shd w:fill="F5F5F5" w:val="clear"/>
        <w:spacing w:after="60"/>
        <w:ind w:left="360"/>
      </w:pPr>
      <w:r>
        <w:rPr>
          <w:rFonts w:ascii="Courier New" w:cs="Courier New" w:eastAsia="Courier New" w:hAnsi="Courier New"/>
          <w:color w:val="1C1C1C"/>
          <w:sz w:val="18"/>
          <w:szCs w:val="18"/>
        </w:rPr>
        <w:t xml:space="preserve">public ResponseEntity&lt;Void&gt; triggerPurge() { ... }</w:t>
      </w:r>
    </w:p>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4. Flux OAuth2/OIDC avec BankID</w:t>
      </w:r>
    </w:p>
    <w:p>
      <w:pPr>
        <w:pStyle w:val="Heading2"/>
        <w:spacing w:after="160" w:before="360"/>
      </w:pPr>
      <w:r>
        <w:rPr>
          <w:rFonts w:ascii="Arial" w:cs="Arial" w:eastAsia="Arial" w:hAnsi="Arial"/>
          <w:b/>
          <w:bCs/>
          <w:color w:val="2E75B6"/>
          <w:sz w:val="28"/>
          <w:szCs w:val="28"/>
        </w:rPr>
        <w:t xml:space="preserve">4.1 Configuration Spring Security OAuth2</w:t>
      </w:r>
    </w:p>
    <w:p>
      <w:pPr>
        <w:spacing w:after="120"/>
      </w:pPr>
      <w:r>
        <w:rPr>
          <w:rFonts w:ascii="Arial" w:cs="Arial" w:eastAsia="Arial" w:hAnsi="Arial"/>
          <w:sz w:val="22"/>
          <w:szCs w:val="22"/>
        </w:rPr>
        <w:t xml:space="preserve">En tant que SeP, Spring Security fournit un support natif OAuth2 Client qui simplifie grandement l'implémentation.</w:t>
      </w:r>
    </w:p>
    <w:p>
      <w:pPr>
        <w:shd w:fill="F5F5F5" w:val="clear"/>
        <w:spacing w:after="60"/>
        <w:ind w:left="360"/>
      </w:pPr>
      <w:r>
        <w:rPr>
          <w:rFonts w:ascii="Courier New" w:cs="Courier New" w:eastAsia="Courier New" w:hAnsi="Courier New"/>
          <w:color w:val="1C1C1C"/>
          <w:sz w:val="18"/>
          <w:szCs w:val="18"/>
        </w:rPr>
        <w:t xml:space="preserve"># application.yml – configuration Spring OAuth2 Client</w:t>
      </w:r>
    </w:p>
    <w:p>
      <w:pPr>
        <w:shd w:fill="F5F5F5" w:val="clear"/>
        <w:spacing w:after="60"/>
        <w:ind w:left="360"/>
      </w:pPr>
      <w:r>
        <w:rPr>
          <w:rFonts w:ascii="Courier New" w:cs="Courier New" w:eastAsia="Courier New" w:hAnsi="Courier New"/>
          <w:color w:val="1C1C1C"/>
          <w:sz w:val="18"/>
          <w:szCs w:val="18"/>
        </w:rPr>
        <w:t xml:space="preserve">spring:</w:t>
      </w:r>
    </w:p>
    <w:p>
      <w:pPr>
        <w:shd w:fill="F5F5F5" w:val="clear"/>
        <w:spacing w:after="60"/>
        <w:ind w:left="360"/>
      </w:pPr>
      <w:r>
        <w:rPr>
          <w:rFonts w:ascii="Courier New" w:cs="Courier New" w:eastAsia="Courier New" w:hAnsi="Courier New"/>
          <w:color w:val="1C1C1C"/>
          <w:sz w:val="18"/>
          <w:szCs w:val="18"/>
        </w:rPr>
        <w:t xml:space="preserve">  security:</w:t>
      </w:r>
    </w:p>
    <w:p>
      <w:pPr>
        <w:shd w:fill="F5F5F5" w:val="clear"/>
        <w:spacing w:after="60"/>
        <w:ind w:left="360"/>
      </w:pPr>
      <w:r>
        <w:rPr>
          <w:rFonts w:ascii="Courier New" w:cs="Courier New" w:eastAsia="Courier New" w:hAnsi="Courier New"/>
          <w:color w:val="1C1C1C"/>
          <w:sz w:val="18"/>
          <w:szCs w:val="18"/>
        </w:rPr>
        <w:t xml:space="preserve">    oauth2:</w:t>
      </w:r>
    </w:p>
    <w:p>
      <w:pPr>
        <w:shd w:fill="F5F5F5" w:val="clear"/>
        <w:spacing w:after="60"/>
        <w:ind w:left="360"/>
      </w:pPr>
      <w:r>
        <w:rPr>
          <w:rFonts w:ascii="Courier New" w:cs="Courier New" w:eastAsia="Courier New" w:hAnsi="Courier New"/>
          <w:color w:val="1C1C1C"/>
          <w:sz w:val="18"/>
          <w:szCs w:val="18"/>
        </w:rPr>
        <w:t xml:space="preserve">      client:</w:t>
      </w:r>
    </w:p>
    <w:p>
      <w:pPr>
        <w:shd w:fill="F5F5F5" w:val="clear"/>
        <w:spacing w:after="60"/>
        <w:ind w:left="360"/>
      </w:pPr>
      <w:r>
        <w:rPr>
          <w:rFonts w:ascii="Courier New" w:cs="Courier New" w:eastAsia="Courier New" w:hAnsi="Courier New"/>
          <w:color w:val="1C1C1C"/>
          <w:sz w:val="18"/>
          <w:szCs w:val="18"/>
        </w:rPr>
        <w:t xml:space="preserve">        registration:</w:t>
      </w:r>
    </w:p>
    <w:p>
      <w:pPr>
        <w:shd w:fill="F5F5F5" w:val="clear"/>
        <w:spacing w:after="60"/>
        <w:ind w:left="360"/>
      </w:pPr>
      <w:r>
        <w:rPr>
          <w:rFonts w:ascii="Courier New" w:cs="Courier New" w:eastAsia="Courier New" w:hAnsi="Courier New"/>
          <w:color w:val="1C1C1C"/>
          <w:sz w:val="18"/>
          <w:szCs w:val="18"/>
        </w:rPr>
        <w:t xml:space="preserve">          bankid:</w:t>
      </w:r>
    </w:p>
    <w:p>
      <w:pPr>
        <w:shd w:fill="F5F5F5" w:val="clear"/>
        <w:spacing w:after="60"/>
        <w:ind w:left="360"/>
      </w:pPr>
      <w:r>
        <w:rPr>
          <w:rFonts w:ascii="Courier New" w:cs="Courier New" w:eastAsia="Courier New" w:hAnsi="Courier New"/>
          <w:color w:val="1C1C1C"/>
          <w:sz w:val="18"/>
          <w:szCs w:val="18"/>
        </w:rPr>
        <w:t xml:space="preserve">            client-id: ${BANKID_CLIENT_ID}</w:t>
      </w:r>
    </w:p>
    <w:p>
      <w:pPr>
        <w:shd w:fill="F5F5F5" w:val="clear"/>
        <w:spacing w:after="60"/>
        <w:ind w:left="360"/>
      </w:pPr>
      <w:r>
        <w:rPr>
          <w:rFonts w:ascii="Courier New" w:cs="Courier New" w:eastAsia="Courier New" w:hAnsi="Courier New"/>
          <w:color w:val="1C1C1C"/>
          <w:sz w:val="18"/>
          <w:szCs w:val="18"/>
        </w:rPr>
        <w:t xml:space="preserve">            client-secret: ${BANKID_CLIENT_SECRET}</w:t>
      </w:r>
    </w:p>
    <w:p>
      <w:pPr>
        <w:shd w:fill="F5F5F5" w:val="clear"/>
        <w:spacing w:after="60"/>
        <w:ind w:left="360"/>
      </w:pPr>
      <w:r>
        <w:rPr>
          <w:rFonts w:ascii="Courier New" w:cs="Courier New" w:eastAsia="Courier New" w:hAnsi="Courier New"/>
          <w:color w:val="1C1C1C"/>
          <w:sz w:val="18"/>
          <w:szCs w:val="18"/>
        </w:rPr>
        <w:t xml:space="preserve">            authorization-grant-type: authorization_code</w:t>
      </w:r>
    </w:p>
    <w:p>
      <w:pPr>
        <w:shd w:fill="F5F5F5" w:val="clear"/>
        <w:spacing w:after="60"/>
        <w:ind w:left="360"/>
      </w:pPr>
      <w:r>
        <w:rPr>
          <w:rFonts w:ascii="Courier New" w:cs="Courier New" w:eastAsia="Courier New" w:hAnsi="Courier New"/>
          <w:color w:val="1C1C1C"/>
          <w:sz w:val="18"/>
          <w:szCs w:val="18"/>
        </w:rPr>
        <w:t xml:space="preserve">            redirect-uri: "{baseUrl}/callback"</w:t>
      </w:r>
    </w:p>
    <w:p>
      <w:pPr>
        <w:shd w:fill="F5F5F5" w:val="clear"/>
        <w:spacing w:after="60"/>
        <w:ind w:left="360"/>
      </w:pPr>
      <w:r>
        <w:rPr>
          <w:rFonts w:ascii="Courier New" w:cs="Courier New" w:eastAsia="Courier New" w:hAnsi="Courier New"/>
          <w:color w:val="1C1C1C"/>
          <w:sz w:val="18"/>
          <w:szCs w:val="18"/>
        </w:rPr>
        <w:t xml:space="preserve">            scope: openid,name,birthdate,addresses,idcards,legalstatus,offline_access</w:t>
      </w:r>
    </w:p>
    <w:p>
      <w:pPr>
        <w:shd w:fill="F5F5F5" w:val="clear"/>
        <w:spacing w:after="60"/>
        <w:ind w:left="360"/>
      </w:pPr>
      <w:r>
        <w:rPr>
          <w:rFonts w:ascii="Courier New" w:cs="Courier New" w:eastAsia="Courier New" w:hAnsi="Courier New"/>
          <w:color w:val="1C1C1C"/>
          <w:sz w:val="18"/>
          <w:szCs w:val="18"/>
        </w:rPr>
        <w:t xml:space="preserve">        provider:</w:t>
      </w:r>
    </w:p>
    <w:p>
      <w:pPr>
        <w:shd w:fill="F5F5F5" w:val="clear"/>
        <w:spacing w:after="60"/>
        <w:ind w:left="360"/>
      </w:pPr>
      <w:r>
        <w:rPr>
          <w:rFonts w:ascii="Courier New" w:cs="Courier New" w:eastAsia="Courier New" w:hAnsi="Courier New"/>
          <w:color w:val="1C1C1C"/>
          <w:sz w:val="18"/>
          <w:szCs w:val="18"/>
        </w:rPr>
        <w:t xml:space="preserve">          bankid:</w:t>
      </w:r>
    </w:p>
    <w:p>
      <w:pPr>
        <w:shd w:fill="F5F5F5" w:val="clear"/>
        <w:spacing w:after="60"/>
        <w:ind w:left="360"/>
      </w:pPr>
      <w:r>
        <w:rPr>
          <w:rFonts w:ascii="Courier New" w:cs="Courier New" w:eastAsia="Courier New" w:hAnsi="Courier New"/>
          <w:color w:val="1C1C1C"/>
          <w:sz w:val="18"/>
          <w:szCs w:val="18"/>
        </w:rPr>
        <w:t xml:space="preserve">            issuer-uri: https://oidc.sandbox.bankid.cz</w:t>
      </w:r>
    </w:p>
    <w:p>
      <w:pPr>
        <w:shd w:fill="F5F5F5" w:val="clear"/>
        <w:spacing w:after="60"/>
        <w:ind w:left="360"/>
      </w:pPr>
      <w:r>
        <w:rPr>
          <w:rFonts w:ascii="Courier New" w:cs="Courier New" w:eastAsia="Courier New" w:hAnsi="Courier New"/>
          <w:color w:val="1C1C1C"/>
          <w:sz w:val="18"/>
          <w:szCs w:val="18"/>
        </w:rPr>
        <w:t xml:space="preserve">            # Spring auto-découvre les endpoints via /.well-known/openid-configuration</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4.2 Le flux en 6 appels —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500"/>
        <w:gridCol w:w="2526"/>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①</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 navigateur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URL d'autorisation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②</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Callback /callback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Redirect navigateur</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Réception du code d'autorisation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③</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/token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 Serveur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Échange code contre tokens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④</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/userinfo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Serveur → Serveur</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Récupération données KYC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⑤</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/revoke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 Serveur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Révocation en fin de session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⑥</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/.well-known/jwks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Serveur → Serveur</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Récupération clés publiques BankID</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Note</w:t>
            </w:r>
          </w:p>
          <w:p>
            <w:pPr>
              <w:spacing w:after="40"/>
            </w:pPr>
            <w:r>
              <w:rPr>
                <w:rFonts w:ascii="Arial" w:cs="Arial" w:eastAsia="Arial" w:hAnsi="Arial"/>
                <w:sz w:val="20"/>
                <w:szCs w:val="20"/>
              </w:rPr>
              <w:t xml:space="preserve">Le détail complet de chacun de ces 6 appels — paramètres, sécurité, code Java — est développé dans le document 'Documentation Solution 1 — API Back'.</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4.3 Anti-CSRF et anti-replay : state et nonce</w:t>
      </w:r>
    </w:p>
    <w:p>
      <w:pPr>
        <w:spacing w:after="120"/>
      </w:pPr>
      <w:r>
        <w:rPr>
          <w:rFonts w:ascii="Arial" w:cs="Arial" w:eastAsia="Arial" w:hAnsi="Arial"/>
          <w:sz w:val="22"/>
          <w:szCs w:val="22"/>
        </w:rPr>
        <w:t xml:space="preserve">Deux valeurs aléatoires cryptographiques protègent le flux :</w:t>
      </w:r>
    </w:p>
    <w:p>
      <w:pPr>
        <w:pStyle w:val="ListParagraph"/>
        <w:numPr>
          <w:ilvl w:val="0"/>
          <w:numId w:val="2"/>
        </w:numPr>
        <w:spacing w:after="80"/>
      </w:pPr>
      <w:r>
        <w:rPr>
          <w:rFonts w:ascii="Arial" w:cs="Arial" w:eastAsia="Arial" w:hAnsi="Arial"/>
          <w:sz w:val="22"/>
          <w:szCs w:val="22"/>
        </w:rPr>
        <w:t xml:space="preserve">state — généré avant la redirection vers /auth, stocké en session, vérifié au retour du callback. Protège contre les attaques CSRF.</w:t>
      </w:r>
    </w:p>
    <w:p>
      <w:pPr>
        <w:pStyle w:val="ListParagraph"/>
        <w:numPr>
          <w:ilvl w:val="0"/>
          <w:numId w:val="2"/>
        </w:numPr>
        <w:spacing w:after="80"/>
      </w:pPr>
      <w:r>
        <w:rPr>
          <w:rFonts w:ascii="Arial" w:cs="Arial" w:eastAsia="Arial" w:hAnsi="Arial"/>
          <w:sz w:val="22"/>
          <w:szCs w:val="22"/>
        </w:rPr>
        <w:t xml:space="preserve">nonce — généré de la même manière, inclus dans le claim de l'id_token reçu. Protège contre les attaques par rejeu (replay).</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Règle absolue</w:t>
            </w:r>
          </w:p>
          <w:p>
            <w:pPr>
              <w:spacing w:after="40"/>
            </w:pPr>
            <w:r>
              <w:rPr>
                <w:rFonts w:ascii="Arial" w:cs="Arial" w:eastAsia="Arial" w:hAnsi="Arial"/>
                <w:sz w:val="20"/>
                <w:szCs w:val="20"/>
              </w:rPr>
              <w:t xml:space="preserve">state et nonce DOIVENT être générés avec SecureRandom (jamais Random ou UUID.randomUUID() seul en contexte sensible), et vérifiés avec une comparaison à temps constant (MessageDigest.isEqual) pour éviter les attaques par timing.</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4.4 Pourquoi deux appels distincts (/auth puis /token)</w:t>
      </w:r>
    </w:p>
    <w:p>
      <w:pPr>
        <w:spacing w:after="120"/>
      </w:pPr>
      <w:r>
        <w:rPr>
          <w:rFonts w:ascii="Arial" w:cs="Arial" w:eastAsia="Arial" w:hAnsi="Arial"/>
          <w:sz w:val="22"/>
          <w:szCs w:val="22"/>
        </w:rPr>
        <w:t xml:space="preserve">Le premier appel passe par le navigateur (environnement non fiable pour transporter des secrets). Le second est un appel serveur-à-serveur, protégé par TLS 1.3, où le code reçu est échangé avec le client_secret. Cette séparation garantit que les tokens ne transitent jamais par le navigateur. Le détail complet de ce raisonnement est disponible dans le document 1 (Documentation Explicative BankID).</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color w:val="777777"/>
        <w:sz w:val="18"/>
        <w:szCs w:val="18"/>
      </w:rPr>
      <w:t xml:space="preserve">Confidentiel – Usage interne</w:t>
    </w:r>
    <w:r>
      <w:rPr>
        <w:rFonts w:ascii="Arial" w:cs="Arial" w:eastAsia="Arial" w:hAnsi="Arial"/>
        <w:color w:val="777777"/>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777777"/>
        <w:sz w:val="18"/>
        <w:szCs w:val="18"/>
      </w:rPr>
      <w:t xml:space="preserve">BankID CZ – Documentation Sécurité 1  |  Doc.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2026-07-03T19:33:19.611Z</dcterms:created>
  <dcterms:modified xsi:type="dcterms:W3CDTF">2026-07-03T19:33:19.612Z</dcterms:modified>
</cp:coreProperties>
</file>

<file path=docProps/custom.xml><?xml version="1.0" encoding="utf-8"?>
<Properties xmlns="http://schemas.openxmlformats.org/officeDocument/2006/custom-properties" xmlns:vt="http://schemas.openxmlformats.org/officeDocument/2006/docPropsVTypes"/>
</file>