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F3864"/>
          <w:sz w:val="72"/>
          <w:szCs w:val="72"/>
        </w:rPr>
        <w:t xml:space="preserve">BankID.CZ</w:t>
      </w:r>
    </w:p>
    <w:p>
      <w:pPr>
        <w:spacing w:after="200"/>
        <w:jc w:val="center"/>
      </w:pPr>
      <w:r>
        <w:rPr>
          <w:rFonts w:ascii="Arial" w:cs="Arial" w:eastAsia="Arial" w:hAnsi="Arial"/>
          <w:color w:val="2E75B6"/>
          <w:sz w:val="40"/>
          <w:szCs w:val="40"/>
        </w:rPr>
        <w:t xml:space="preserve">Documentation Sécurité 2</w:t>
      </w:r>
    </w:p>
    <w:p>
      <w:pPr>
        <w:spacing w:after="120"/>
        <w:jc w:val="center"/>
      </w:pPr>
      <w:r>
        <w:rPr>
          <w:rFonts w:ascii="Arial" w:cs="Arial" w:eastAsia="Arial" w:hAnsi="Arial"/>
          <w:color w:val="555555"/>
          <w:sz w:val="26"/>
          <w:szCs w:val="26"/>
        </w:rPr>
        <w:t xml:space="preserve">Scopes, Stockage Chiffré, TLS 1.3, JWS/JWE, APub/APriv</w:t>
      </w:r>
    </w:p>
    <w:p>
      <w:pPr>
        <w:spacing w:after="600"/>
        <w:jc w:val="center"/>
      </w:pPr>
      <w:r>
        <w:rPr>
          <w:rFonts w:ascii="Arial" w:cs="Arial" w:eastAsia="Arial" w:hAnsi="Arial"/>
          <w:i/>
          <w:iCs/>
          <w:color w:val="888888"/>
          <w:sz w:val="24"/>
          <w:szCs w:val="24"/>
        </w:rPr>
        <w:t xml:space="preserve">Document 3 / 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sz w:val="20"/>
                <w:szCs w:val="20"/>
              </w:rPr>
              <w:t xml:space="preserve">Source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developer.bankid.cz/docs/security_sep</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Mai 2026</w:t>
            </w:r>
          </w:p>
        </w:tc>
      </w:tr>
    </w:tbl>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1. Scopes et Données Disponibles</w:t>
      </w:r>
    </w:p>
    <w:p>
      <w:pPr>
        <w:spacing w:after="120"/>
      </w:pPr>
      <w:r>
        <w:rPr>
          <w:rFonts w:ascii="Arial" w:cs="Arial" w:eastAsia="Arial" w:hAnsi="Arial"/>
          <w:sz w:val="22"/>
          <w:szCs w:val="22"/>
        </w:rPr>
        <w:t xml:space="preserve">Les scopes définissent les données que l'utilisateur est invité à partager. Ils sont configurés dans le portail développeur et peuvent être marqués required (l'utilisateur ne peut pas refuser) ou optional (l'utilisateur peut refuser individuellement).</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Claims principaux</w:t>
            </w:r>
          </w:p>
        </w:tc>
        <w:tc>
          <w:tcPr>
            <w:tcW w:type="dxa" w:w="2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Disponibilité banques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openid</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 (identifiant unique pairwise)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Toutes — OBLIGATOIRE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given_name, family_name, middle_name</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Toutes les banques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birthdate</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birthdate, age, date_of_death</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Toutes les banques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addresses</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 street, city, zipcode, country</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Toutes (détail variable)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idcards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number, valid_to, country, issuer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Toutes les banques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legalstatus</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majority, pep, limited_legal_capacity</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Toutes les banques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Toutes les banques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email_verified</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Variable selon banque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phonenumber</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phone_number, phone_number_verified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selon banque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trust_framework, verification_process</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Toutes — nécessaire pour AML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paymentAccounts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paymentAccounts, paymentAccountsDetails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 mB uniquement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offline_access</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Activation du refresh_token</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Toutes — si demandé</w:t>
            </w:r>
          </w:p>
        </w:tc>
      </w:tr>
    </w:tbl>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 Point de vigilance sur la disponibilité des claims</w:t>
            </w:r>
          </w:p>
          <w:p>
            <w:pPr>
              <w:spacing w:after="40"/>
            </w:pPr>
            <w:r>
              <w:rPr>
                <w:rFonts w:ascii="Arial" w:cs="Arial" w:eastAsia="Arial" w:hAnsi="Arial"/>
                <w:sz w:val="20"/>
                <w:szCs w:val="20"/>
              </w:rPr>
              <w:t xml:space="preserve">Le scope idcards peut revenir vide si l'utilisateur n'a pas de carte valide. paymentAccounts n'est disponible que chez AB (Air Bank) et mB (mBank). Toujours traiter les claims comme optionnels côté code — même un scope required peut retourner un tableau vide.</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1.2 Le scope verification et la conformité AML</w:t>
      </w:r>
    </w:p>
    <w:p>
      <w:pPr>
        <w:spacing w:after="120"/>
      </w:pPr>
      <w:r>
        <w:rPr>
          <w:rFonts w:ascii="Arial" w:cs="Arial" w:eastAsia="Arial" w:hAnsi="Arial"/>
          <w:sz w:val="22"/>
          <w:szCs w:val="22"/>
        </w:rPr>
        <w:t xml:space="preserve">Pour obtenir des données exploitables dans un contexte AML (Anti-Money Laundering), le scope profile.verification doit être configuré comme required dans le portail. Le claim trust_framework retourné prend la valeur cz_aml pour une vérification selon la loi AML tchèque, et verification_process contient le numéro fiscal de la banque ayant réalisé la vérification physique initiale.</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Accord commercial nécessaire</w:t>
            </w:r>
          </w:p>
          <w:p>
            <w:pPr>
              <w:spacing w:after="40"/>
            </w:pPr>
            <w:r>
              <w:rPr>
                <w:rFonts w:ascii="Arial" w:cs="Arial" w:eastAsia="Arial" w:hAnsi="Arial"/>
                <w:sz w:val="20"/>
                <w:szCs w:val="20"/>
              </w:rPr>
              <w:t xml:space="preserve">L'accès à ces données de vérification en production nécessite un accord commercial ou légal direct avec Bankovní identita a.s., en plus de la configuration technique du scope.</w:t>
            </w:r>
          </w:p>
        </w:tc>
      </w:tr>
    </w:tbl>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2. Stockage Chiffré des Données KYC</w:t>
      </w:r>
    </w:p>
    <w:p>
      <w:pPr>
        <w:pStyle w:val="Heading2"/>
        <w:spacing w:after="160" w:before="360"/>
      </w:pPr>
      <w:r>
        <w:rPr>
          <w:rFonts w:ascii="Arial" w:cs="Arial" w:eastAsia="Arial" w:hAnsi="Arial"/>
          <w:b/>
          <w:bCs/>
          <w:color w:val="2E75B6"/>
          <w:sz w:val="28"/>
          <w:szCs w:val="28"/>
        </w:rPr>
        <w:t xml:space="preserve">2.1 Structure de stockage</w:t>
      </w:r>
    </w:p>
    <w:p>
      <w:pPr>
        <w:spacing w:after="120"/>
      </w:pPr>
      <w:r>
        <w:rPr>
          <w:rFonts w:ascii="Arial" w:cs="Arial" w:eastAsia="Arial" w:hAnsi="Arial"/>
          <w:sz w:val="22"/>
          <w:szCs w:val="22"/>
        </w:rPr>
        <w:t xml:space="preserve">Chaque réponse KYC est stockée dans un fichier JSON chiffré AES-256-GCM. Le nom de fichier est basé sur un hash du sub (identifiant pairwise BankID), jamais sur des données personnelles en clair.</w:t>
      </w:r>
    </w:p>
    <w:p>
      <w:pPr>
        <w:shd w:fill="F5F5F5" w:val="clear"/>
        <w:spacing w:after="60"/>
        <w:ind w:left="360"/>
      </w:pPr>
      <w:r>
        <w:rPr>
          <w:rFonts w:ascii="Courier New" w:cs="Courier New" w:eastAsia="Courier New" w:hAnsi="Courier New"/>
          <w:color w:val="1C1C1C"/>
          <w:sz w:val="18"/>
          <w:szCs w:val="18"/>
        </w:rPr>
        <w:t xml:space="preserve">/data/kyc-files/</w:t>
      </w:r>
    </w:p>
    <w:p>
      <w:pPr>
        <w:shd w:fill="F5F5F5" w:val="clear"/>
        <w:spacing w:after="60"/>
        <w:ind w:left="360"/>
      </w:pPr>
      <w:r>
        <w:rPr>
          <w:rFonts w:ascii="Courier New" w:cs="Courier New" w:eastAsia="Courier New" w:hAnsi="Courier New"/>
          <w:color w:val="1C1C1C"/>
          <w:sz w:val="18"/>
          <w:szCs w:val="18"/>
        </w:rPr>
        <w:t xml:space="preserve">├── {subHash}.kyc.enc     ← Données KYC chiffrées (JSON → AES-256-GCM → Base64)</w:t>
      </w:r>
    </w:p>
    <w:p>
      <w:pPr>
        <w:shd w:fill="F5F5F5" w:val="clear"/>
        <w:spacing w:after="60"/>
        <w:ind w:left="360"/>
      </w:pPr>
      <w:r>
        <w:rPr>
          <w:rFonts w:ascii="Courier New" w:cs="Courier New" w:eastAsia="Courier New" w:hAnsi="Courier New"/>
          <w:color w:val="1C1C1C"/>
          <w:sz w:val="18"/>
          <w:szCs w:val="18"/>
        </w:rPr>
        <w:t xml:space="preserve">├── {subHash}.meta.json   ← Métadonnées non-chiffrées (dates, statut, pas de PII)</w:t>
      </w:r>
    </w:p>
    <w:p>
      <w:pPr>
        <w:shd w:fill="F5F5F5" w:val="clear"/>
        <w:spacing w:after="60"/>
        <w:ind w:left="360"/>
      </w:pPr>
      <w:r>
        <w:rPr>
          <w:rFonts w:ascii="Courier New" w:cs="Courier New" w:eastAsia="Courier New" w:hAnsi="Courier New"/>
          <w:color w:val="1C1C1C"/>
          <w:sz w:val="18"/>
          <w:szCs w:val="18"/>
        </w:rPr>
        <w:t xml:space="preserve">└── audit/</w:t>
      </w:r>
    </w:p>
    <w:p>
      <w:pPr>
        <w:shd w:fill="F5F5F5" w:val="clear"/>
        <w:spacing w:after="60"/>
        <w:ind w:left="360"/>
      </w:pPr>
      <w:r>
        <w:rPr>
          <w:rFonts w:ascii="Courier New" w:cs="Courier New" w:eastAsia="Courier New" w:hAnsi="Courier New"/>
          <w:color w:val="1C1C1C"/>
          <w:sz w:val="18"/>
          <w:szCs w:val="18"/>
        </w:rPr>
        <w:t xml:space="preserve">    └── purge-audit.log    ← Journal des purges (15 ans de rétention)</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2.2 Format du fichier .kyc.enc</w:t>
      </w:r>
    </w:p>
    <w:p>
      <w:pPr>
        <w:shd w:fill="F5F5F5" w:val="clear"/>
        <w:spacing w:after="60"/>
        <w:ind w:left="360"/>
      </w:pPr>
      <w:r>
        <w:rPr>
          <w:rFonts w:ascii="Courier New" w:cs="Courier New" w:eastAsia="Courier New" w:hAnsi="Courier New"/>
          <w:color w:val="1C1C1C"/>
          <w:sz w:val="18"/>
          <w:szCs w:val="18"/>
        </w:rPr>
        <w:t xml:space="preserve">// JSON source (avant chiffrement) :</w:t>
      </w:r>
    </w:p>
    <w:p>
      <w:pPr>
        <w:shd w:fill="F5F5F5" w:val="clear"/>
        <w:spacing w:after="60"/>
        <w:ind w:left="360"/>
      </w:pPr>
      <w:r>
        <w:rPr>
          <w:rFonts w:ascii="Courier New" w:cs="Courier New" w:eastAsia="Courier New" w:hAnsi="Courier New"/>
          <w:color w:val="1C1C1C"/>
          <w:sz w:val="18"/>
          <w:szCs w:val="18"/>
        </w:rPr>
        <w:t xml:space="preserve">{</w:t>
      </w:r>
    </w:p>
    <w:p>
      <w:pPr>
        <w:shd w:fill="F5F5F5" w:val="clear"/>
        <w:spacing w:after="60"/>
        <w:ind w:left="360"/>
      </w:pPr>
      <w:r>
        <w:rPr>
          <w:rFonts w:ascii="Courier New" w:cs="Courier New" w:eastAsia="Courier New" w:hAnsi="Courier New"/>
          <w:color w:val="1C1C1C"/>
          <w:sz w:val="18"/>
          <w:szCs w:val="18"/>
        </w:rPr>
        <w:t xml:space="preserve">  "sub": "pairwise-sub-from-bankid",</w:t>
      </w:r>
    </w:p>
    <w:p>
      <w:pPr>
        <w:shd w:fill="F5F5F5" w:val="clear"/>
        <w:spacing w:after="60"/>
        <w:ind w:left="360"/>
      </w:pPr>
      <w:r>
        <w:rPr>
          <w:rFonts w:ascii="Courier New" w:cs="Courier New" w:eastAsia="Courier New" w:hAnsi="Courier New"/>
          <w:color w:val="1C1C1C"/>
          <w:sz w:val="18"/>
          <w:szCs w:val="18"/>
        </w:rPr>
        <w:t xml:space="preserve">  "fetchedAt": "2026-05-20T10:30:00Z",</w:t>
      </w:r>
    </w:p>
    <w:p>
      <w:pPr>
        <w:shd w:fill="F5F5F5" w:val="clear"/>
        <w:spacing w:after="60"/>
        <w:ind w:left="360"/>
      </w:pPr>
      <w:r>
        <w:rPr>
          <w:rFonts w:ascii="Courier New" w:cs="Courier New" w:eastAsia="Courier New" w:hAnsi="Courier New"/>
          <w:color w:val="1C1C1C"/>
          <w:sz w:val="18"/>
          <w:szCs w:val="18"/>
        </w:rPr>
        <w:t xml:space="preserve">  "expiresAt": "2026-06-19T10:30:00Z",</w:t>
      </w:r>
    </w:p>
    <w:p>
      <w:pPr>
        <w:shd w:fill="F5F5F5" w:val="clear"/>
        <w:spacing w:after="60"/>
        <w:ind w:left="360"/>
      </w:pPr>
      <w:r>
        <w:rPr>
          <w:rFonts w:ascii="Courier New" w:cs="Courier New" w:eastAsia="Courier New" w:hAnsi="Courier New"/>
          <w:color w:val="1C1C1C"/>
          <w:sz w:val="18"/>
          <w:szCs w:val="18"/>
        </w:rPr>
        <w:t xml:space="preserve">  "bankName": "CSOB",</w:t>
      </w:r>
    </w:p>
    <w:p>
      <w:pPr>
        <w:shd w:fill="F5F5F5" w:val="clear"/>
        <w:spacing w:after="60"/>
        <w:ind w:left="360"/>
      </w:pPr>
      <w:r>
        <w:rPr>
          <w:rFonts w:ascii="Courier New" w:cs="Courier New" w:eastAsia="Courier New" w:hAnsi="Courier New"/>
          <w:color w:val="1C1C1C"/>
          <w:sz w:val="18"/>
          <w:szCs w:val="18"/>
        </w:rPr>
        <w:t xml:space="preserve">  "scopes": ["name", "birthdate", "addresses"],</w:t>
      </w:r>
    </w:p>
    <w:p>
      <w:pPr>
        <w:shd w:fill="F5F5F5" w:val="clear"/>
        <w:spacing w:after="60"/>
        <w:ind w:left="360"/>
      </w:pPr>
      <w:r>
        <w:rPr>
          <w:rFonts w:ascii="Courier New" w:cs="Courier New" w:eastAsia="Courier New" w:hAnsi="Courier New"/>
          <w:color w:val="1C1C1C"/>
          <w:sz w:val="18"/>
          <w:szCs w:val="18"/>
        </w:rPr>
        <w:t xml:space="preserve">  "claims": {</w:t>
      </w:r>
    </w:p>
    <w:p>
      <w:pPr>
        <w:shd w:fill="F5F5F5" w:val="clear"/>
        <w:spacing w:after="60"/>
        <w:ind w:left="360"/>
      </w:pPr>
      <w:r>
        <w:rPr>
          <w:rFonts w:ascii="Courier New" w:cs="Courier New" w:eastAsia="Courier New" w:hAnsi="Courier New"/>
          <w:color w:val="1C1C1C"/>
          <w:sz w:val="18"/>
          <w:szCs w:val="18"/>
        </w:rPr>
        <w:t xml:space="preserve">    "given_name": "Jan",</w:t>
      </w:r>
    </w:p>
    <w:p>
      <w:pPr>
        <w:shd w:fill="F5F5F5" w:val="clear"/>
        <w:spacing w:after="60"/>
        <w:ind w:left="360"/>
      </w:pPr>
      <w:r>
        <w:rPr>
          <w:rFonts w:ascii="Courier New" w:cs="Courier New" w:eastAsia="Courier New" w:hAnsi="Courier New"/>
          <w:color w:val="1C1C1C"/>
          <w:sz w:val="18"/>
          <w:szCs w:val="18"/>
        </w:rPr>
        <w:t xml:space="preserve">    "family_name": "Novak",</w:t>
      </w:r>
    </w:p>
    <w:p>
      <w:pPr>
        <w:shd w:fill="F5F5F5" w:val="clear"/>
        <w:spacing w:after="60"/>
        <w:ind w:left="360"/>
      </w:pPr>
      <w:r>
        <w:rPr>
          <w:rFonts w:ascii="Courier New" w:cs="Courier New" w:eastAsia="Courier New" w:hAnsi="Courier New"/>
          <w:color w:val="1C1C1C"/>
          <w:sz w:val="18"/>
          <w:szCs w:val="18"/>
        </w:rPr>
        <w:t xml:space="preserve">    "birthdate": "1985-03-15"</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2.3 Service de chiffrement AES-256-GCM</w:t>
      </w:r>
    </w:p>
    <w:p>
      <w:pPr>
        <w:shd w:fill="F5F5F5" w:val="clear"/>
        <w:spacing w:after="60"/>
        <w:ind w:left="360"/>
      </w:pPr>
      <w:r>
        <w:rPr>
          <w:rFonts w:ascii="Courier New" w:cs="Courier New" w:eastAsia="Courier New" w:hAnsi="Courier New"/>
          <w:color w:val="1C1C1C"/>
          <w:sz w:val="18"/>
          <w:szCs w:val="18"/>
        </w:rPr>
        <w:t xml:space="preserve">@Service</w:t>
      </w:r>
    </w:p>
    <w:p>
      <w:pPr>
        <w:shd w:fill="F5F5F5" w:val="clear"/>
        <w:spacing w:after="60"/>
        <w:ind w:left="360"/>
      </w:pPr>
      <w:r>
        <w:rPr>
          <w:rFonts w:ascii="Courier New" w:cs="Courier New" w:eastAsia="Courier New" w:hAnsi="Courier New"/>
          <w:color w:val="1C1C1C"/>
          <w:sz w:val="18"/>
          <w:szCs w:val="18"/>
        </w:rPr>
        <w:t xml:space="preserve">public class KycEncryptionService {</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@Value("${kyc.encryption.key}")</w:t>
      </w:r>
    </w:p>
    <w:p>
      <w:pPr>
        <w:shd w:fill="F5F5F5" w:val="clear"/>
        <w:spacing w:after="60"/>
        <w:ind w:left="360"/>
      </w:pPr>
      <w:r>
        <w:rPr>
          <w:rFonts w:ascii="Courier New" w:cs="Courier New" w:eastAsia="Courier New" w:hAnsi="Courier New"/>
          <w:color w:val="1C1C1C"/>
          <w:sz w:val="18"/>
          <w:szCs w:val="18"/>
        </w:rPr>
        <w:t xml:space="preserve">    private String base64Key;  // Clé 256 bits — depuis vault, jamais en dur</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public void encryptAndWrite(String subHash, String json, Path storageDir) {</w:t>
      </w:r>
    </w:p>
    <w:p>
      <w:pPr>
        <w:shd w:fill="F5F5F5" w:val="clear"/>
        <w:spacing w:after="60"/>
        <w:ind w:left="360"/>
      </w:pPr>
      <w:r>
        <w:rPr>
          <w:rFonts w:ascii="Courier New" w:cs="Courier New" w:eastAsia="Courier New" w:hAnsi="Courier New"/>
          <w:color w:val="1C1C1C"/>
          <w:sz w:val="18"/>
          <w:szCs w:val="18"/>
        </w:rPr>
        <w:t xml:space="preserve">        byte[] plaintext = json.getBytes(StandardCharsets.UTF_8);</w:t>
      </w:r>
    </w:p>
    <w:p>
      <w:pPr>
        <w:shd w:fill="F5F5F5" w:val="clear"/>
        <w:spacing w:after="60"/>
        <w:ind w:left="360"/>
      </w:pPr>
      <w:r>
        <w:rPr>
          <w:rFonts w:ascii="Courier New" w:cs="Courier New" w:eastAsia="Courier New" w:hAnsi="Courier New"/>
          <w:color w:val="1C1C1C"/>
          <w:sz w:val="18"/>
          <w:szCs w:val="18"/>
        </w:rPr>
        <w:t xml:space="preserve">        SecretKey key = new SecretKeySpec(</w:t>
      </w:r>
    </w:p>
    <w:p>
      <w:pPr>
        <w:shd w:fill="F5F5F5" w:val="clear"/>
        <w:spacing w:after="60"/>
        <w:ind w:left="360"/>
      </w:pPr>
      <w:r>
        <w:rPr>
          <w:rFonts w:ascii="Courier New" w:cs="Courier New" w:eastAsia="Courier New" w:hAnsi="Courier New"/>
          <w:color w:val="1C1C1C"/>
          <w:sz w:val="18"/>
          <w:szCs w:val="18"/>
        </w:rPr>
        <w:t xml:space="preserve">            Base64.getDecoder().decode(base64Key), "AES");</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byte[] iv = new byte[12];</w:t>
      </w:r>
    </w:p>
    <w:p>
      <w:pPr>
        <w:shd w:fill="F5F5F5" w:val="clear"/>
        <w:spacing w:after="60"/>
        <w:ind w:left="360"/>
      </w:pPr>
      <w:r>
        <w:rPr>
          <w:rFonts w:ascii="Courier New" w:cs="Courier New" w:eastAsia="Courier New" w:hAnsi="Courier New"/>
          <w:color w:val="1C1C1C"/>
          <w:sz w:val="18"/>
          <w:szCs w:val="18"/>
        </w:rPr>
        <w:t xml:space="preserve">        new SecureRandom().nextBytes(iv);</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Cipher cipher = Cipher.getInstance("AES/GCM/NoPadding");</w:t>
      </w:r>
    </w:p>
    <w:p>
      <w:pPr>
        <w:shd w:fill="F5F5F5" w:val="clear"/>
        <w:spacing w:after="60"/>
        <w:ind w:left="360"/>
      </w:pPr>
      <w:r>
        <w:rPr>
          <w:rFonts w:ascii="Courier New" w:cs="Courier New" w:eastAsia="Courier New" w:hAnsi="Courier New"/>
          <w:color w:val="1C1C1C"/>
          <w:sz w:val="18"/>
          <w:szCs w:val="18"/>
        </w:rPr>
        <w:t xml:space="preserve">        cipher.init(Cipher.ENCRYPT_MODE, key, new GCMParameterSpec(128, iv));</w:t>
      </w:r>
    </w:p>
    <w:p>
      <w:pPr>
        <w:shd w:fill="F5F5F5" w:val="clear"/>
        <w:spacing w:after="60"/>
        <w:ind w:left="360"/>
      </w:pPr>
      <w:r>
        <w:rPr>
          <w:rFonts w:ascii="Courier New" w:cs="Courier New" w:eastAsia="Courier New" w:hAnsi="Courier New"/>
          <w:color w:val="1C1C1C"/>
          <w:sz w:val="18"/>
          <w:szCs w:val="18"/>
        </w:rPr>
        <w:t xml:space="preserve">        byte[] ciphertext = cipher.doFinal(plaintext);</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byte[] result = new byte[iv.length + ciphertext.length];</w:t>
      </w:r>
    </w:p>
    <w:p>
      <w:pPr>
        <w:shd w:fill="F5F5F5" w:val="clear"/>
        <w:spacing w:after="60"/>
        <w:ind w:left="360"/>
      </w:pPr>
      <w:r>
        <w:rPr>
          <w:rFonts w:ascii="Courier New" w:cs="Courier New" w:eastAsia="Courier New" w:hAnsi="Courier New"/>
          <w:color w:val="1C1C1C"/>
          <w:sz w:val="18"/>
          <w:szCs w:val="18"/>
        </w:rPr>
        <w:t xml:space="preserve">        System.arraycopy(iv, 0, result, 0, iv.length);</w:t>
      </w:r>
    </w:p>
    <w:p>
      <w:pPr>
        <w:shd w:fill="F5F5F5" w:val="clear"/>
        <w:spacing w:after="60"/>
        <w:ind w:left="360"/>
      </w:pPr>
      <w:r>
        <w:rPr>
          <w:rFonts w:ascii="Courier New" w:cs="Courier New" w:eastAsia="Courier New" w:hAnsi="Courier New"/>
          <w:color w:val="1C1C1C"/>
          <w:sz w:val="18"/>
          <w:szCs w:val="18"/>
        </w:rPr>
        <w:t xml:space="preserve">        System.arraycopy(ciphertext, 0, result, iv.length, ciphertext.length);</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Files.writeString(storageDir.resolve(subHash + ".kyc.enc"),</w:t>
      </w:r>
    </w:p>
    <w:p>
      <w:pPr>
        <w:shd w:fill="F5F5F5" w:val="clear"/>
        <w:spacing w:after="60"/>
        <w:ind w:left="360"/>
      </w:pPr>
      <w:r>
        <w:rPr>
          <w:rFonts w:ascii="Courier New" w:cs="Courier New" w:eastAsia="Courier New" w:hAnsi="Courier New"/>
          <w:color w:val="1C1C1C"/>
          <w:sz w:val="18"/>
          <w:szCs w:val="18"/>
        </w:rPr>
        <w:t xml:space="preserve">            Base64.getEncoder().encodeToString(result));</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2.4 Politique de rétention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de données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Durée de rétention</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à expiration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Fichiers KYC chiffrés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jours (configurable, défaut 30j)</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Suppression physique du fichier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Métadonnées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Même durée que le fichier KYC</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Suppression physique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Tokens (access/refresh)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Durée de validité + 24h</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Révocation BankID + suppression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Logs d'audit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ans minimum (obligation légale)</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Archivage froid</w:t>
            </w:r>
          </w:p>
        </w:tc>
      </w:tr>
    </w:tbl>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3. TLS 1.3</w:t>
      </w:r>
    </w:p>
    <w:p>
      <w:pPr>
        <w:pStyle w:val="Heading2"/>
        <w:spacing w:after="160" w:before="360"/>
      </w:pPr>
      <w:r>
        <w:rPr>
          <w:rFonts w:ascii="Arial" w:cs="Arial" w:eastAsia="Arial" w:hAnsi="Arial"/>
          <w:b/>
          <w:bCs/>
          <w:color w:val="2E75B6"/>
          <w:sz w:val="28"/>
          <w:szCs w:val="28"/>
        </w:rPr>
        <w:t xml:space="preserve">3.1 Ce que dit la documentation BankID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Extrait security_sep</w:t>
            </w:r>
          </w:p>
          <w:p>
            <w:pPr>
              <w:spacing w:after="40"/>
            </w:pPr>
            <w:r>
              <w:rPr>
                <w:rFonts w:ascii="Arial" w:cs="Arial" w:eastAsia="Arial" w:hAnsi="Arial"/>
                <w:sz w:val="20"/>
                <w:szCs w:val="20"/>
              </w:rPr>
              <w:t xml:space="preserve">"All communication MUST use a secure version of TLS. It is possible to use TLS 1.2 until 1.7.2025, from 1.7.2025 support for TLS 1.2 will be removed." "TLS compression MUST be disabled." "HTTP compression MUST be DISABLED."</w:t>
            </w:r>
          </w:p>
        </w:tc>
      </w:tr>
    </w:tbl>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 Obligation actuelle</w:t>
            </w:r>
          </w:p>
          <w:p>
            <w:pPr>
              <w:spacing w:after="40"/>
            </w:pPr>
            <w:r>
              <w:rPr>
                <w:rFonts w:ascii="Arial" w:cs="Arial" w:eastAsia="Arial" w:hAnsi="Arial"/>
                <w:sz w:val="20"/>
                <w:szCs w:val="20"/>
              </w:rPr>
              <w:t xml:space="preserve">TLS 1.2 n'est plus supporté depuis le 1er juillet 2025. TLS 1.3 est la version minimale obligatoire pour toute communication avec BankID.</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3.2 Configuration WebClient (Back API)</w:t>
      </w:r>
    </w:p>
    <w:p>
      <w:pPr>
        <w:shd w:fill="F5F5F5" w:val="clear"/>
        <w:spacing w:after="60"/>
        <w:ind w:left="360"/>
      </w:pPr>
      <w:r>
        <w:rPr>
          <w:rFonts w:ascii="Courier New" w:cs="Courier New" w:eastAsia="Courier New" w:hAnsi="Courier New"/>
          <w:color w:val="1C1C1C"/>
          <w:sz w:val="18"/>
          <w:szCs w:val="18"/>
        </w:rPr>
        <w:t xml:space="preserve">@Bean</w:t>
      </w:r>
    </w:p>
    <w:p>
      <w:pPr>
        <w:shd w:fill="F5F5F5" w:val="clear"/>
        <w:spacing w:after="60"/>
        <w:ind w:left="360"/>
      </w:pPr>
      <w:r>
        <w:rPr>
          <w:rFonts w:ascii="Courier New" w:cs="Courier New" w:eastAsia="Courier New" w:hAnsi="Courier New"/>
          <w:color w:val="1C1C1C"/>
          <w:sz w:val="18"/>
          <w:szCs w:val="18"/>
        </w:rPr>
        <w:t xml:space="preserve">public WebClient bankIdWebClient() throws Exception {</w:t>
      </w:r>
    </w:p>
    <w:p>
      <w:pPr>
        <w:shd w:fill="F5F5F5" w:val="clear"/>
        <w:spacing w:after="60"/>
        <w:ind w:left="360"/>
      </w:pPr>
      <w:r>
        <w:rPr>
          <w:rFonts w:ascii="Courier New" w:cs="Courier New" w:eastAsia="Courier New" w:hAnsi="Courier New"/>
          <w:color w:val="1C1C1C"/>
          <w:sz w:val="18"/>
          <w:szCs w:val="18"/>
        </w:rPr>
        <w:t xml:space="preserve">    SslContext sslContext = SslContextBuilder.forClient()</w:t>
      </w:r>
    </w:p>
    <w:p>
      <w:pPr>
        <w:shd w:fill="F5F5F5" w:val="clear"/>
        <w:spacing w:after="60"/>
        <w:ind w:left="360"/>
      </w:pPr>
      <w:r>
        <w:rPr>
          <w:rFonts w:ascii="Courier New" w:cs="Courier New" w:eastAsia="Courier New" w:hAnsi="Courier New"/>
          <w:color w:val="1C1C1C"/>
          <w:sz w:val="18"/>
          <w:szCs w:val="18"/>
        </w:rPr>
        <w:t xml:space="preserve">        .protocols("TLSv1.3")</w:t>
      </w:r>
    </w:p>
    <w:p>
      <w:pPr>
        <w:shd w:fill="F5F5F5" w:val="clear"/>
        <w:spacing w:after="60"/>
        <w:ind w:left="360"/>
      </w:pPr>
      <w:r>
        <w:rPr>
          <w:rFonts w:ascii="Courier New" w:cs="Courier New" w:eastAsia="Courier New" w:hAnsi="Courier New"/>
          <w:color w:val="1C1C1C"/>
          <w:sz w:val="18"/>
          <w:szCs w:val="18"/>
        </w:rPr>
        <w:t xml:space="preserve">        .trustManager(buildTrustManager())</w:t>
      </w:r>
    </w:p>
    <w:p>
      <w:pPr>
        <w:shd w:fill="F5F5F5" w:val="clear"/>
        <w:spacing w:after="60"/>
        <w:ind w:left="360"/>
      </w:pPr>
      <w:r>
        <w:rPr>
          <w:rFonts w:ascii="Courier New" w:cs="Courier New" w:eastAsia="Courier New" w:hAnsi="Courier New"/>
          <w:color w:val="1C1C1C"/>
          <w:sz w:val="18"/>
          <w:szCs w:val="18"/>
        </w:rPr>
        <w:t xml:space="preserve">        .build();</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HttpClient httpClient = HttpClient.create()</w:t>
      </w:r>
    </w:p>
    <w:p>
      <w:pPr>
        <w:shd w:fill="F5F5F5" w:val="clear"/>
        <w:spacing w:after="60"/>
        <w:ind w:left="360"/>
      </w:pPr>
      <w:r>
        <w:rPr>
          <w:rFonts w:ascii="Courier New" w:cs="Courier New" w:eastAsia="Courier New" w:hAnsi="Courier New"/>
          <w:color w:val="1C1C1C"/>
          <w:sz w:val="18"/>
          <w:szCs w:val="18"/>
        </w:rPr>
        <w:t xml:space="preserve">        .secure(spec -&gt; spec.sslContext(sslContext))</w:t>
      </w:r>
    </w:p>
    <w:p>
      <w:pPr>
        <w:shd w:fill="F5F5F5" w:val="clear"/>
        <w:spacing w:after="60"/>
        <w:ind w:left="360"/>
      </w:pPr>
      <w:r>
        <w:rPr>
          <w:rFonts w:ascii="Courier New" w:cs="Courier New" w:eastAsia="Courier New" w:hAnsi="Courier New"/>
          <w:color w:val="1C1C1C"/>
          <w:sz w:val="18"/>
          <w:szCs w:val="18"/>
        </w:rPr>
        <w:t xml:space="preserve">        .compress(false)                        // MUST : désactiver compression</w:t>
      </w:r>
    </w:p>
    <w:p>
      <w:pPr>
        <w:shd w:fill="F5F5F5" w:val="clear"/>
        <w:spacing w:after="60"/>
        <w:ind w:left="360"/>
      </w:pPr>
      <w:r>
        <w:rPr>
          <w:rFonts w:ascii="Courier New" w:cs="Courier New" w:eastAsia="Courier New" w:hAnsi="Courier New"/>
          <w:color w:val="1C1C1C"/>
          <w:sz w:val="18"/>
          <w:szCs w:val="18"/>
        </w:rPr>
        <w:t xml:space="preserve">        .option(ChannelOption.CONNECT_TIMEOUT_MILLIS, 5000);</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return WebClient.builder()</w:t>
      </w:r>
    </w:p>
    <w:p>
      <w:pPr>
        <w:shd w:fill="F5F5F5" w:val="clear"/>
        <w:spacing w:after="60"/>
        <w:ind w:left="360"/>
      </w:pPr>
      <w:r>
        <w:rPr>
          <w:rFonts w:ascii="Courier New" w:cs="Courier New" w:eastAsia="Courier New" w:hAnsi="Courier New"/>
          <w:color w:val="1C1C1C"/>
          <w:sz w:val="18"/>
          <w:szCs w:val="18"/>
        </w:rPr>
        <w:t xml:space="preserve">        .baseUrl(bankIdBaseUrl)</w:t>
      </w:r>
    </w:p>
    <w:p>
      <w:pPr>
        <w:shd w:fill="F5F5F5" w:val="clear"/>
        <w:spacing w:after="60"/>
        <w:ind w:left="360"/>
      </w:pPr>
      <w:r>
        <w:rPr>
          <w:rFonts w:ascii="Courier New" w:cs="Courier New" w:eastAsia="Courier New" w:hAnsi="Courier New"/>
          <w:color w:val="1C1C1C"/>
          <w:sz w:val="18"/>
          <w:szCs w:val="18"/>
        </w:rPr>
        <w:t xml:space="preserve">        .clientConnector(new ReactorClientHttpConnector(httpClient))</w:t>
      </w:r>
    </w:p>
    <w:p>
      <w:pPr>
        <w:shd w:fill="F5F5F5" w:val="clear"/>
        <w:spacing w:after="60"/>
        <w:ind w:left="360"/>
      </w:pPr>
      <w:r>
        <w:rPr>
          <w:rFonts w:ascii="Courier New" w:cs="Courier New" w:eastAsia="Courier New" w:hAnsi="Courier New"/>
          <w:color w:val="1C1C1C"/>
          <w:sz w:val="18"/>
          <w:szCs w:val="18"/>
        </w:rPr>
        <w:t xml:space="preserve">        .defaultHeader("Accept-Encoding", "")  // MUST : désactiver HTTP compression</w:t>
      </w:r>
    </w:p>
    <w:p>
      <w:pPr>
        <w:shd w:fill="F5F5F5" w:val="clear"/>
        <w:spacing w:after="60"/>
        <w:ind w:left="360"/>
      </w:pPr>
      <w:r>
        <w:rPr>
          <w:rFonts w:ascii="Courier New" w:cs="Courier New" w:eastAsia="Courier New" w:hAnsi="Courier New"/>
          <w:color w:val="1C1C1C"/>
          <w:sz w:val="18"/>
          <w:szCs w:val="18"/>
        </w:rPr>
        <w:t xml:space="preserve">        .build();</w:t>
      </w:r>
    </w:p>
    <w:p>
      <w:pPr>
        <w:shd w:fill="F5F5F5" w:val="clear"/>
        <w:spacing w:after="60"/>
        <w:ind w:left="360"/>
      </w:pPr>
      <w:r>
        <w:rPr>
          <w:rFonts w:ascii="Courier New" w:cs="Courier New" w:eastAsia="Courier New" w:hAnsi="Courier New"/>
          <w:color w:val="1C1C1C"/>
          <w:sz w:val="18"/>
          <w:szCs w:val="18"/>
        </w:rPr>
        <w:t xml:space="preserve">}</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3.3 Certificat serveur — alternative au QWAC</w:t>
      </w:r>
    </w:p>
    <w:p>
      <w:pPr>
        <w:spacing w:after="120"/>
      </w:pPr>
      <w:r>
        <w:rPr>
          <w:rFonts w:ascii="Arial" w:cs="Arial" w:eastAsia="Arial" w:hAnsi="Arial"/>
          <w:sz w:val="22"/>
          <w:szCs w:val="22"/>
        </w:rPr>
        <w:t xml:space="preserve">La documentation recommande (SHOULD, non obligatoire) l'usage d'un certificat QWAC pour l'authentification serveur. Un certificat X.509 commercial standard (Let's Encrypt, DigiCert...) est parfaitement conforme, à condition de respecter les contraintes MUST suivantes :</w:t>
      </w:r>
    </w:p>
    <w:p>
      <w:pPr>
        <w:pStyle w:val="ListParagraph"/>
        <w:numPr>
          <w:ilvl w:val="0"/>
          <w:numId w:val="2"/>
        </w:numPr>
        <w:spacing w:after="80"/>
      </w:pPr>
      <w:r>
        <w:rPr>
          <w:rFonts w:ascii="Arial" w:cs="Arial" w:eastAsia="Arial" w:hAnsi="Arial"/>
          <w:sz w:val="22"/>
          <w:szCs w:val="22"/>
        </w:rPr>
        <w:t xml:space="preserve">FQDN obligatoire (ex : kyc.notre-domaine.com) — jamais de wildcard (*.notre-domaine.com interdit).</w:t>
      </w:r>
    </w:p>
    <w:p>
      <w:pPr>
        <w:pStyle w:val="ListParagraph"/>
        <w:numPr>
          <w:ilvl w:val="0"/>
          <w:numId w:val="2"/>
        </w:numPr>
        <w:spacing w:after="80"/>
      </w:pPr>
      <w:r>
        <w:rPr>
          <w:rFonts w:ascii="Arial" w:cs="Arial" w:eastAsia="Arial" w:hAnsi="Arial"/>
          <w:sz w:val="22"/>
          <w:szCs w:val="22"/>
        </w:rPr>
        <w:t xml:space="preserve">CA de confiance reconnue.</w:t>
      </w:r>
    </w:p>
    <w:p>
      <w:pPr>
        <w:pStyle w:val="ListParagraph"/>
        <w:numPr>
          <w:ilvl w:val="0"/>
          <w:numId w:val="2"/>
        </w:numPr>
        <w:spacing w:after="80"/>
      </w:pPr>
      <w:r>
        <w:rPr>
          <w:rFonts w:ascii="Arial" w:cs="Arial" w:eastAsia="Arial" w:hAnsi="Arial"/>
          <w:sz w:val="22"/>
          <w:szCs w:val="22"/>
        </w:rPr>
        <w:t xml:space="preserve">Clé ECDSA ≥ 256 bits ou RSA ≥ 2048 bits.</w:t>
      </w:r>
    </w:p>
    <w:p>
      <w:pPr>
        <w:pStyle w:val="ListParagraph"/>
        <w:numPr>
          <w:ilvl w:val="0"/>
          <w:numId w:val="2"/>
        </w:numPr>
        <w:spacing w:after="80"/>
      </w:pPr>
      <w:r>
        <w:rPr>
          <w:rFonts w:ascii="Arial" w:cs="Arial" w:eastAsia="Arial" w:hAnsi="Arial"/>
          <w:sz w:val="22"/>
          <w:szCs w:val="22"/>
        </w:rPr>
        <w:t xml:space="preserve">Rotation au moins une fois par an.</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 Décision retenue pour notre solution</w:t>
            </w:r>
          </w:p>
          <w:p>
            <w:pPr>
              <w:spacing w:after="40"/>
            </w:pPr>
            <w:r>
              <w:rPr>
                <w:rFonts w:ascii="Arial" w:cs="Arial" w:eastAsia="Arial" w:hAnsi="Arial"/>
                <w:sz w:val="20"/>
                <w:szCs w:val="20"/>
              </w:rPr>
              <w:t xml:space="preserve">Utilisation d'un certificat X.509 standard (Let's Encrypt ou équivalent commercial) plutôt qu'un QWAC. Conforme à la doc BankID puisque QWAC est une recommandation (SHOULD) et non une obligation (MUST).</w:t>
            </w:r>
          </w:p>
        </w:tc>
      </w:tr>
    </w:tbl>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4. JWS et JWE</w:t>
      </w:r>
    </w:p>
    <w:p>
      <w:pPr>
        <w:pStyle w:val="Heading2"/>
        <w:spacing w:after="160" w:before="360"/>
      </w:pPr>
      <w:r>
        <w:rPr>
          <w:rFonts w:ascii="Arial" w:cs="Arial" w:eastAsia="Arial" w:hAnsi="Arial"/>
          <w:b/>
          <w:bCs/>
          <w:color w:val="2E75B6"/>
          <w:sz w:val="28"/>
          <w:szCs w:val="28"/>
        </w:rPr>
        <w:t xml:space="preserve">4.1 Ce que dit la documentation BankID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Extrait security_sep</w:t>
            </w:r>
          </w:p>
          <w:p>
            <w:pPr>
              <w:spacing w:after="40"/>
            </w:pPr>
            <w:r>
              <w:rPr>
                <w:rFonts w:ascii="Arial" w:cs="Arial" w:eastAsia="Arial" w:hAnsi="Arial"/>
                <w:sz w:val="20"/>
                <w:szCs w:val="20"/>
              </w:rPr>
              <w:t xml:space="preserve">"The Provider MAY use JWS and JWE where the OpenID connect protocol allows it: ID Token, UserInfo endpoint response, Profile endpoint response (signed and encrypted)." "Encryption MUST be done after the signature."</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4.2 Principe : JWS signé, puis enveloppé dans un JWE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Opération</w:t>
            </w:r>
          </w:p>
        </w:tc>
        <w:tc>
          <w:tcPr>
            <w:tcW w:type="dxa" w:w="4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Objectif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JWS (interne)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BankID signe le payload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Non-répudiation, intégrité</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JWE (externe)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BankID chiffre le JWS</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Confidentialité en transit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Réception SeP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Déchiffrement puis vérification signature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Obtenir et authentifier les claims</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4.3 Comportement à gérer côté code</w:t>
      </w:r>
    </w:p>
    <w:p>
      <w:pPr>
        <w:spacing w:after="120"/>
      </w:pPr>
      <w:r>
        <w:rPr>
          <w:rFonts w:ascii="Arial" w:cs="Arial" w:eastAsia="Arial" w:hAnsi="Arial"/>
          <w:sz w:val="22"/>
          <w:szCs w:val="22"/>
        </w:rPr>
        <w:t xml:space="preserve">C'est BankID qui décide d'activer JWS/JWE selon la configuration de l'application. Le code doit gérer les deux cas — réponse JSON brute et réponse JWT — en se basant sur le Content-Type de la réponse.</w:t>
      </w:r>
    </w:p>
    <w:p>
      <w:pPr>
        <w:shd w:fill="F5F5F5" w:val="clear"/>
        <w:spacing w:after="60"/>
        <w:ind w:left="360"/>
      </w:pPr>
      <w:r>
        <w:rPr>
          <w:rFonts w:ascii="Courier New" w:cs="Courier New" w:eastAsia="Courier New" w:hAnsi="Courier New"/>
          <w:color w:val="1C1C1C"/>
          <w:sz w:val="18"/>
          <w:szCs w:val="18"/>
        </w:rPr>
        <w:t xml:space="preserve">public Map&lt;String, Object&gt; processUserInfoResponse(String body, String contentType) {</w:t>
      </w:r>
    </w:p>
    <w:p>
      <w:pPr>
        <w:shd w:fill="F5F5F5" w:val="clear"/>
        <w:spacing w:after="60"/>
        <w:ind w:left="360"/>
      </w:pPr>
      <w:r>
        <w:rPr>
          <w:rFonts w:ascii="Courier New" w:cs="Courier New" w:eastAsia="Courier New" w:hAnsi="Courier New"/>
          <w:color w:val="1C1C1C"/>
          <w:sz w:val="18"/>
          <w:szCs w:val="18"/>
        </w:rPr>
        <w:t xml:space="preserve">    if (contentType != null &amp;&amp; contentType.contains("application/jwt")) {</w:t>
      </w:r>
    </w:p>
    <w:p>
      <w:pPr>
        <w:shd w:fill="F5F5F5" w:val="clear"/>
        <w:spacing w:after="60"/>
        <w:ind w:left="360"/>
      </w:pPr>
      <w:r>
        <w:rPr>
          <w:rFonts w:ascii="Courier New" w:cs="Courier New" w:eastAsia="Courier New" w:hAnsi="Courier New"/>
          <w:color w:val="1C1C1C"/>
          <w:sz w:val="18"/>
          <w:szCs w:val="18"/>
        </w:rPr>
        <w:t xml:space="preserve">        return processSignedEncryptedJwt(body);  // JWE puis JWS</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    return objectMapper.readValue(body, MAP_TYPE);  // JSON brut</w:t>
      </w:r>
    </w:p>
    <w:p>
      <w:pPr>
        <w:shd w:fill="F5F5F5" w:val="clear"/>
        <w:spacing w:after="60"/>
        <w:ind w:left="360"/>
      </w:pPr>
      <w:r>
        <w:rPr>
          <w:rFonts w:ascii="Courier New" w:cs="Courier New" w:eastAsia="Courier New" w:hAnsi="Courier New"/>
          <w:color w:val="1C1C1C"/>
          <w:sz w:val="18"/>
          <w:szCs w:val="18"/>
        </w:rPr>
        <w:t xml:space="preserve">}</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4.4 Déchiffrement JWE et vérification JWS</w:t>
      </w:r>
    </w:p>
    <w:p>
      <w:pPr>
        <w:shd w:fill="F5F5F5" w:val="clear"/>
        <w:spacing w:after="60"/>
        <w:ind w:left="360"/>
      </w:pPr>
      <w:r>
        <w:rPr>
          <w:rFonts w:ascii="Courier New" w:cs="Courier New" w:eastAsia="Courier New" w:hAnsi="Courier New"/>
          <w:color w:val="1C1C1C"/>
          <w:sz w:val="18"/>
          <w:szCs w:val="18"/>
        </w:rPr>
        <w:t xml:space="preserve">public Map&lt;String, Object&gt; processSignedEncryptedJwt(String jwtString) throws Exception {</w:t>
      </w:r>
    </w:p>
    <w:p>
      <w:pPr>
        <w:shd w:fill="F5F5F5" w:val="clear"/>
        <w:spacing w:after="60"/>
        <w:ind w:left="360"/>
      </w:pPr>
      <w:r>
        <w:rPr>
          <w:rFonts w:ascii="Courier New" w:cs="Courier New" w:eastAsia="Courier New" w:hAnsi="Courier New"/>
          <w:color w:val="1C1C1C"/>
          <w:sz w:val="18"/>
          <w:szCs w:val="18"/>
        </w:rPr>
        <w:t xml:space="preserve">    // 1. Déchiffrement JWE avec notre clé privée</w:t>
      </w:r>
    </w:p>
    <w:p>
      <w:pPr>
        <w:shd w:fill="F5F5F5" w:val="clear"/>
        <w:spacing w:after="60"/>
        <w:ind w:left="360"/>
      </w:pPr>
      <w:r>
        <w:rPr>
          <w:rFonts w:ascii="Courier New" w:cs="Courier New" w:eastAsia="Courier New" w:hAnsi="Courier New"/>
          <w:color w:val="1C1C1C"/>
          <w:sz w:val="18"/>
          <w:szCs w:val="18"/>
        </w:rPr>
        <w:t xml:space="preserve">    EncryptedJWT encryptedJWT = EncryptedJWT.parse(jwtString);</w:t>
      </w:r>
    </w:p>
    <w:p>
      <w:pPr>
        <w:shd w:fill="F5F5F5" w:val="clear"/>
        <w:spacing w:after="60"/>
        <w:ind w:left="360"/>
      </w:pPr>
      <w:r>
        <w:rPr>
          <w:rFonts w:ascii="Courier New" w:cs="Courier New" w:eastAsia="Courier New" w:hAnsi="Courier New"/>
          <w:color w:val="1C1C1C"/>
          <w:sz w:val="18"/>
          <w:szCs w:val="18"/>
        </w:rPr>
        <w:t xml:space="preserve">    encryptedJWT.decrypt(new RSADecrypter(sepPrivateKey));</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 2. Extraction du JWS interne</w:t>
      </w:r>
    </w:p>
    <w:p>
      <w:pPr>
        <w:shd w:fill="F5F5F5" w:val="clear"/>
        <w:spacing w:after="60"/>
        <w:ind w:left="360"/>
      </w:pPr>
      <w:r>
        <w:rPr>
          <w:rFonts w:ascii="Courier New" w:cs="Courier New" w:eastAsia="Courier New" w:hAnsi="Courier New"/>
          <w:color w:val="1C1C1C"/>
          <w:sz w:val="18"/>
          <w:szCs w:val="18"/>
        </w:rPr>
        <w:t xml:space="preserve">    SignedJWT signedJWT = encryptedJWT.getPayload().toSignedJWT();</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 3. Vérification signature avec clé publique BankID (JWK)</w:t>
      </w:r>
    </w:p>
    <w:p>
      <w:pPr>
        <w:shd w:fill="F5F5F5" w:val="clear"/>
        <w:spacing w:after="60"/>
        <w:ind w:left="360"/>
      </w:pPr>
      <w:r>
        <w:rPr>
          <w:rFonts w:ascii="Courier New" w:cs="Courier New" w:eastAsia="Courier New" w:hAnsi="Courier New"/>
          <w:color w:val="1C1C1C"/>
          <w:sz w:val="18"/>
          <w:szCs w:val="18"/>
        </w:rPr>
        <w:t xml:space="preserve">    String kid = signedJWT.getHeader().getKeyID();</w:t>
      </w:r>
    </w:p>
    <w:p>
      <w:pPr>
        <w:shd w:fill="F5F5F5" w:val="clear"/>
        <w:spacing w:after="60"/>
        <w:ind w:left="360"/>
      </w:pPr>
      <w:r>
        <w:rPr>
          <w:rFonts w:ascii="Courier New" w:cs="Courier New" w:eastAsia="Courier New" w:hAnsi="Courier New"/>
          <w:color w:val="1C1C1C"/>
          <w:sz w:val="18"/>
          <w:szCs w:val="18"/>
        </w:rPr>
        <w:t xml:space="preserve">    RSAKey bankIdKey = jwkProvider.getSigningKey(kid);</w:t>
      </w:r>
    </w:p>
    <w:p>
      <w:pPr>
        <w:shd w:fill="F5F5F5" w:val="clear"/>
        <w:spacing w:after="60"/>
        <w:ind w:left="360"/>
      </w:pPr>
      <w:r>
        <w:rPr>
          <w:rFonts w:ascii="Courier New" w:cs="Courier New" w:eastAsia="Courier New" w:hAnsi="Courier New"/>
          <w:color w:val="1C1C1C"/>
          <w:sz w:val="18"/>
          <w:szCs w:val="18"/>
        </w:rPr>
        <w:t xml:space="preserve">    if (!signedJWT.verify(new RSASSAVerifier(bankIdKey.toRSAPublicKey())))</w:t>
      </w:r>
    </w:p>
    <w:p>
      <w:pPr>
        <w:shd w:fill="F5F5F5" w:val="clear"/>
        <w:spacing w:after="60"/>
        <w:ind w:left="360"/>
      </w:pPr>
      <w:r>
        <w:rPr>
          <w:rFonts w:ascii="Courier New" w:cs="Courier New" w:eastAsia="Courier New" w:hAnsi="Courier New"/>
          <w:color w:val="1C1C1C"/>
          <w:sz w:val="18"/>
          <w:szCs w:val="18"/>
        </w:rPr>
        <w:t xml:space="preserve">        throw new JwtValidationException("Signature invalide");</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return signedJWT.getJWTClaimsSet().getClaims();</w:t>
      </w:r>
    </w:p>
    <w:p>
      <w:pPr>
        <w:shd w:fill="F5F5F5" w:val="clear"/>
        <w:spacing w:after="60"/>
        <w:ind w:left="360"/>
      </w:pPr>
      <w:r>
        <w:rPr>
          <w:rFonts w:ascii="Courier New" w:cs="Courier New" w:eastAsia="Courier New" w:hAnsi="Courier New"/>
          <w:color w:val="1C1C1C"/>
          <w:sz w:val="18"/>
          <w:szCs w:val="18"/>
        </w:rPr>
        <w:t xml:space="preserve">}</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4.5 Exposition de notre propre JWKS</w:t>
      </w:r>
    </w:p>
    <w:p>
      <w:pPr>
        <w:spacing w:after="120"/>
      </w:pPr>
      <w:r>
        <w:rPr>
          <w:rFonts w:ascii="Arial" w:cs="Arial" w:eastAsia="Arial" w:hAnsi="Arial"/>
          <w:sz w:val="22"/>
          <w:szCs w:val="22"/>
        </w:rPr>
        <w:t xml:space="preserve">Si JWE est activé côté BankID, notre application doit exposer sa clé publique via un endpoint /.well-known/jwks.json, accessible en HTTPS, référencé dans la configuration jwks_uri du portail développeur.</w:t>
      </w:r>
    </w:p>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5. APub / APriv — Chiffrement Asymétrique d'Audit</w:t>
      </w:r>
    </w:p>
    <w:p>
      <w:pPr>
        <w:pStyle w:val="Heading2"/>
        <w:spacing w:after="160" w:before="360"/>
      </w:pPr>
      <w:r>
        <w:rPr>
          <w:rFonts w:ascii="Arial" w:cs="Arial" w:eastAsia="Arial" w:hAnsi="Arial"/>
          <w:b/>
          <w:bCs/>
          <w:color w:val="2E75B6"/>
          <w:sz w:val="28"/>
          <w:szCs w:val="28"/>
        </w:rPr>
        <w:t xml:space="preserve">5.1 Ce que dit la documentation BankID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 Extrait security_sep</w:t>
            </w:r>
          </w:p>
          <w:p>
            <w:pPr>
              <w:spacing w:after="40"/>
            </w:pPr>
            <w:r>
              <w:rPr>
                <w:rFonts w:ascii="Arial" w:cs="Arial" w:eastAsia="Arial" w:hAnsi="Arial"/>
                <w:sz w:val="20"/>
                <w:szCs w:val="20"/>
              </w:rPr>
              <w:t xml:space="preserve">"A special key pair for auditing MUST exist. APub MUST be used to encrypt payloads of Bank data messages. The payloads MUST NOT be stored in plaintext or encrypted using a symmetric cipher. APriv MUST be in cold storage in a tamper-resistant device (HSM)."</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5.2 Analyse et décision pour notre contexte</w:t>
      </w:r>
    </w:p>
    <w:p>
      <w:pPr>
        <w:spacing w:after="120"/>
      </w:pPr>
      <w:r>
        <w:rPr>
          <w:rFonts w:ascii="Arial" w:cs="Arial" w:eastAsia="Arial" w:hAnsi="Arial"/>
          <w:sz w:val="22"/>
          <w:szCs w:val="22"/>
        </w:rPr>
        <w:t xml:space="preserve">Cette exigence provient de la documentation security_sep, mais son contexte d'origine concerne le transit de messages bancaires entre systèmes. Notre analyse pour ce projet :</w:t>
      </w:r>
    </w:p>
    <w:p>
      <w:pPr>
        <w:pStyle w:val="ListParagraph"/>
        <w:numPr>
          <w:ilvl w:val="0"/>
          <w:numId w:val="2"/>
        </w:numPr>
        <w:spacing w:after="80"/>
      </w:pPr>
      <w:r>
        <w:rPr>
          <w:rFonts w:ascii="Arial" w:cs="Arial" w:eastAsia="Arial" w:hAnsi="Arial"/>
          <w:sz w:val="22"/>
          <w:szCs w:val="22"/>
        </w:rPr>
        <w:t xml:space="preserve">Les fichiers KYC sont stockés localement, chiffrés, sur notre serveur.</w:t>
      </w:r>
    </w:p>
    <w:p>
      <w:pPr>
        <w:pStyle w:val="ListParagraph"/>
        <w:numPr>
          <w:ilvl w:val="0"/>
          <w:numId w:val="2"/>
        </w:numPr>
        <w:spacing w:after="80"/>
      </w:pPr>
      <w:r>
        <w:rPr>
          <w:rFonts w:ascii="Arial" w:cs="Arial" w:eastAsia="Arial" w:hAnsi="Arial"/>
          <w:sz w:val="22"/>
          <w:szCs w:val="22"/>
        </w:rPr>
        <w:t xml:space="preserve">L'accès est strictement réservé à nos applications internes, via le Back API.</w:t>
      </w:r>
    </w:p>
    <w:p>
      <w:pPr>
        <w:pStyle w:val="ListParagraph"/>
        <w:numPr>
          <w:ilvl w:val="0"/>
          <w:numId w:val="2"/>
        </w:numPr>
        <w:spacing w:after="80"/>
      </w:pPr>
      <w:r>
        <w:rPr>
          <w:rFonts w:ascii="Arial" w:cs="Arial" w:eastAsia="Arial" w:hAnsi="Arial"/>
          <w:sz w:val="22"/>
          <w:szCs w:val="22"/>
        </w:rPr>
        <w:t xml:space="preserve">Il n'y a pas de transit de messages entre systèmes bancaires externes.</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 Décision retenue pour notre solution</w:t>
            </w:r>
          </w:p>
          <w:p>
            <w:pPr>
              <w:spacing w:after="40"/>
            </w:pPr>
            <w:r>
              <w:rPr>
                <w:rFonts w:ascii="Arial" w:cs="Arial" w:eastAsia="Arial" w:hAnsi="Arial"/>
                <w:sz w:val="20"/>
                <w:szCs w:val="20"/>
              </w:rPr>
              <w:t xml:space="preserve">Le mécanisme APub/APriv (chiffrement asymétrique + cold storage HSM) n'est PAS implémenté dans notre solution. Le stockage AES-256-GCM (chiffrement symétrique) est retenu pour l'ensemble des fichiers — opérationnels et audit — car notre contexte d'usage (accès interne uniquement, pas de transit inter-bancaire) rend cette exigence disproportionnée. Cette décision peut être revue si un contrat spécifique avec BankID l'impose explicitement.</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5.3 Ce qui est conservé de cette exigence</w:t>
      </w:r>
    </w:p>
    <w:p>
      <w:pPr>
        <w:spacing w:after="120"/>
      </w:pPr>
      <w:r>
        <w:rPr>
          <w:rFonts w:ascii="Arial" w:cs="Arial" w:eastAsia="Arial" w:hAnsi="Arial"/>
          <w:sz w:val="22"/>
          <w:szCs w:val="22"/>
        </w:rPr>
        <w:t xml:space="preserve">Bien que le mécanisme cryptographique APub/APriv ne soit pas retenu, les principes de fond sont appliqués :</w:t>
      </w:r>
    </w:p>
    <w:p>
      <w:pPr>
        <w:pStyle w:val="ListParagraph"/>
        <w:numPr>
          <w:ilvl w:val="0"/>
          <w:numId w:val="3"/>
        </w:numPr>
        <w:spacing w:after="80"/>
      </w:pPr>
      <w:r>
        <w:rPr>
          <w:rFonts w:ascii="Arial" w:cs="Arial" w:eastAsia="Arial" w:hAnsi="Arial"/>
          <w:sz w:val="22"/>
          <w:szCs w:val="22"/>
        </w:rPr>
        <w:t xml:space="preserve">Séparation entre stockage opérationnel (30 jours) et stockage audit (15 ans).</w:t>
      </w:r>
    </w:p>
    <w:p>
      <w:pPr>
        <w:pStyle w:val="ListParagraph"/>
        <w:numPr>
          <w:ilvl w:val="0"/>
          <w:numId w:val="3"/>
        </w:numPr>
        <w:spacing w:after="80"/>
      </w:pPr>
      <w:r>
        <w:rPr>
          <w:rFonts w:ascii="Arial" w:cs="Arial" w:eastAsia="Arial" w:hAnsi="Arial"/>
          <w:sz w:val="22"/>
          <w:szCs w:val="22"/>
        </w:rPr>
        <w:t xml:space="preserve">Chiffrement systématique des payloads bruts reçus de BankID, jamais de stockage en clair.</w:t>
      </w:r>
    </w:p>
    <w:p>
      <w:pPr>
        <w:pStyle w:val="ListParagraph"/>
        <w:numPr>
          <w:ilvl w:val="0"/>
          <w:numId w:val="3"/>
        </w:numPr>
        <w:spacing w:after="80"/>
      </w:pPr>
      <w:r>
        <w:rPr>
          <w:rFonts w:ascii="Arial" w:cs="Arial" w:eastAsia="Arial" w:hAnsi="Arial"/>
          <w:sz w:val="22"/>
          <w:szCs w:val="22"/>
        </w:rPr>
        <w:t xml:space="preserve">Restriction stricte des accès aux fichiers audit — hors du périmètre applicatif courant.</w:t>
      </w:r>
    </w:p>
    <w:p>
      <w:pPr>
        <w:pStyle w:val="ListParagraph"/>
        <w:numPr>
          <w:ilvl w:val="0"/>
          <w:numId w:val="3"/>
        </w:numPr>
        <w:spacing w:after="80"/>
      </w:pPr>
      <w:r>
        <w:rPr>
          <w:rFonts w:ascii="Arial" w:cs="Arial" w:eastAsia="Arial" w:hAnsi="Arial"/>
          <w:sz w:val="22"/>
          <w:szCs w:val="22"/>
        </w:rPr>
        <w:t xml:space="preserve">Conservation de la clé de chiffrement dans un vault, séparée de l'infrastructure applicative.</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5.4 Structure de stockage retenue</w:t>
      </w:r>
    </w:p>
    <w:p>
      <w:pPr>
        <w:shd w:fill="F5F5F5" w:val="clear"/>
        <w:spacing w:after="60"/>
        <w:ind w:left="360"/>
      </w:pPr>
      <w:r>
        <w:rPr>
          <w:rFonts w:ascii="Courier New" w:cs="Courier New" w:eastAsia="Courier New" w:hAnsi="Courier New"/>
          <w:color w:val="1C1C1C"/>
          <w:sz w:val="18"/>
          <w:szCs w:val="18"/>
        </w:rPr>
        <w:t xml:space="preserve">/data/kyc-files/</w:t>
      </w:r>
    </w:p>
    <w:p>
      <w:pPr>
        <w:shd w:fill="F5F5F5" w:val="clear"/>
        <w:spacing w:after="60"/>
        <w:ind w:left="360"/>
      </w:pPr>
      <w:r>
        <w:rPr>
          <w:rFonts w:ascii="Courier New" w:cs="Courier New" w:eastAsia="Courier New" w:hAnsi="Courier New"/>
          <w:color w:val="1C1C1C"/>
          <w:sz w:val="18"/>
          <w:szCs w:val="18"/>
        </w:rPr>
        <w:t xml:space="preserve">├── operational/</w:t>
      </w:r>
    </w:p>
    <w:p>
      <w:pPr>
        <w:shd w:fill="F5F5F5" w:val="clear"/>
        <w:spacing w:after="60"/>
        <w:ind w:left="360"/>
      </w:pPr>
      <w:r>
        <w:rPr>
          <w:rFonts w:ascii="Courier New" w:cs="Courier New" w:eastAsia="Courier New" w:hAnsi="Courier New"/>
          <w:color w:val="1C1C1C"/>
          <w:sz w:val="18"/>
          <w:szCs w:val="18"/>
        </w:rPr>
        <w:t xml:space="preserve">│   ├── {subHash}.kyc.enc      ← AES-256-GCM (accès applicatif, purge 30j)</w:t>
      </w:r>
    </w:p>
    <w:p>
      <w:pPr>
        <w:shd w:fill="F5F5F5" w:val="clear"/>
        <w:spacing w:after="60"/>
        <w:ind w:left="360"/>
      </w:pPr>
      <w:r>
        <w:rPr>
          <w:rFonts w:ascii="Courier New" w:cs="Courier New" w:eastAsia="Courier New" w:hAnsi="Courier New"/>
          <w:color w:val="1C1C1C"/>
          <w:sz w:val="18"/>
          <w:szCs w:val="18"/>
        </w:rPr>
        <w:t xml:space="preserve">│   └── {subHash}.meta.json    ← Métadonnées non chiffrées</w:t>
      </w:r>
    </w:p>
    <w:p>
      <w:pPr>
        <w:shd w:fill="F5F5F5" w:val="clear"/>
        <w:spacing w:after="60"/>
        <w:ind w:left="360"/>
      </w:pPr>
      <w:r>
        <w:rPr>
          <w:rFonts w:ascii="Courier New" w:cs="Courier New" w:eastAsia="Courier New" w:hAnsi="Courier New"/>
          <w:color w:val="1C1C1C"/>
          <w:sz w:val="18"/>
          <w:szCs w:val="18"/>
        </w:rPr>
        <w:t xml:space="preserve">└── audit/</w:t>
      </w:r>
    </w:p>
    <w:p>
      <w:pPr>
        <w:shd w:fill="F5F5F5" w:val="clear"/>
        <w:spacing w:after="60"/>
        <w:ind w:left="360"/>
      </w:pPr>
      <w:r>
        <w:rPr>
          <w:rFonts w:ascii="Courier New" w:cs="Courier New" w:eastAsia="Courier New" w:hAnsi="Courier New"/>
          <w:color w:val="1C1C1C"/>
          <w:sz w:val="18"/>
          <w:szCs w:val="18"/>
        </w:rPr>
        <w:t xml:space="preserve">    ├── {txnId}.kyc.enc        ← AES-256-GCM (payload brut, conservé 15 ans)</w:t>
      </w:r>
    </w:p>
    <w:p>
      <w:pPr>
        <w:shd w:fill="F5F5F5" w:val="clear"/>
        <w:spacing w:after="60"/>
        <w:ind w:left="360"/>
      </w:pPr>
      <w:r>
        <w:rPr>
          <w:rFonts w:ascii="Courier New" w:cs="Courier New" w:eastAsia="Courier New" w:hAnsi="Courier New"/>
          <w:color w:val="1C1C1C"/>
          <w:sz w:val="18"/>
          <w:szCs w:val="18"/>
        </w:rPr>
        <w:t xml:space="preserve">    └── purge-audit.log        ← Journal des purges (pas de PII)</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Point d'attention pour la suite</w:t>
            </w:r>
          </w:p>
          <w:p>
            <w:pPr>
              <w:spacing w:after="40"/>
            </w:pPr>
            <w:r>
              <w:rPr>
                <w:rFonts w:ascii="Arial" w:cs="Arial" w:eastAsia="Arial" w:hAnsi="Arial"/>
                <w:sz w:val="20"/>
                <w:szCs w:val="20"/>
              </w:rPr>
              <w:t xml:space="preserve">Cette décision (AES-256-GCM plutôt qu'APub/APriv) doit être validée avec le DPO et, si possible, confirmée auprès du support développeur BankID, car la documentation ne précise pas explicitement le périmètre d'application (Banque vs SeP) de cette exigence.</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0"/>
    </w:pPr>
    <w:r>
      <w:rPr>
        <w:rFonts w:ascii="Arial" w:cs="Arial" w:eastAsia="Arial" w:hAnsi="Arial"/>
        <w:color w:val="777777"/>
        <w:sz w:val="18"/>
        <w:szCs w:val="18"/>
      </w:rPr>
      <w:t xml:space="preserve">Confidentiel – Usage interne</w:t>
    </w:r>
    <w:r>
      <w:rPr>
        <w:rFonts w:ascii="Arial" w:cs="Arial" w:eastAsia="Arial" w:hAnsi="Arial"/>
        <w:color w:val="777777"/>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color w:val="777777"/>
        <w:sz w:val="18"/>
        <w:szCs w:val="18"/>
      </w:rPr>
      <w:t xml:space="preserve">BankID CZ – Documentation Sécurité 2  |  Doc. 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2026-07-03T19:34:42.689Z</dcterms:created>
  <dcterms:modified xsi:type="dcterms:W3CDTF">2026-07-03T19:34:42.690Z</dcterms:modified>
</cp:coreProperties>
</file>

<file path=docProps/custom.xml><?xml version="1.0" encoding="utf-8"?>
<Properties xmlns="http://schemas.openxmlformats.org/officeDocument/2006/custom-properties" xmlns:vt="http://schemas.openxmlformats.org/officeDocument/2006/docPropsVTypes"/>
</file>