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Times New Roman" w:cs="Times New Roman" w:eastAsia="Times New Roman" w:hAnsi="Times New Roman"/>
          <w:b/>
          <w:bCs/>
          <w:sz w:val="36"/>
          <w:szCs w:val="36"/>
        </w:rPr>
        <w:t xml:space="preserve">Regime Occupancy as a Predictive Model Class in External Sigma Adaptation for CMA-ES</w:t>
      </w:r>
    </w:p>
    <w:p>
      <w:pPr>
        <w:spacing w:after="120"/>
        <w:jc w:val="center"/>
      </w:pPr>
      <w:r>
        <w:rPr>
          <w:rFonts w:ascii="Times New Roman" w:cs="Times New Roman" w:eastAsia="Times New Roman" w:hAnsi="Times New Roman"/>
          <w:i/>
          <w:iCs/>
          <w:color w:val="444444"/>
          <w:sz w:val="24"/>
          <w:szCs w:val="24"/>
        </w:rPr>
        <w:t xml:space="preserve">Interpretation of the Adaptive Window Fraction Mechanism Sweep</w:t>
      </w:r>
    </w:p>
    <w:p>
      <w:pPr>
        <w:spacing w:after="120"/>
        <w:jc w:val="center"/>
      </w:pPr>
      <w:r>
        <w:rPr>
          <w:rFonts w:ascii="Times New Roman" w:cs="Times New Roman" w:eastAsia="Times New Roman" w:hAnsi="Times New Roman"/>
          <w:sz w:val="22"/>
          <w:szCs w:val="22"/>
        </w:rPr>
        <w:t xml:space="preserve">Dionisio A. Lopez III</w:t>
      </w:r>
    </w:p>
    <w:p>
      <w:pPr>
        <w:spacing w:after="120"/>
        <w:jc w:val="center"/>
      </w:pPr>
      <w:r>
        <w:rPr>
          <w:rFonts w:ascii="Times New Roman" w:cs="Times New Roman" w:eastAsia="Times New Roman" w:hAnsi="Times New Roman"/>
          <w:color w:val="555555"/>
          <w:sz w:val="22"/>
          <w:szCs w:val="22"/>
        </w:rPr>
        <w:t xml:space="preserve">Independent Researcher — Pittsburgh, Pennsylvania</w:t>
      </w:r>
    </w:p>
    <w:p>
      <w:pPr>
        <w:spacing w:after="80"/>
        <w:jc w:val="center"/>
      </w:pPr>
      <w:r>
        <w:rPr>
          <w:rFonts w:ascii="Courier New" w:cs="Courier New" w:eastAsia="Courier New" w:hAnsi="Courier New"/>
          <w:color w:val="555555"/>
          <w:sz w:val="18"/>
          <w:szCs w:val="18"/>
        </w:rPr>
        <w:t xml:space="preserve">Run ID: 20260305T111933Z-awf-mechanism</w:t>
      </w:r>
    </w:p>
    <w:p>
      <w:pPr>
        <w:spacing w:after="480"/>
        <w:jc w:val="center"/>
      </w:pPr>
      <w:r>
        <w:rPr>
          <w:rFonts w:ascii="Times New Roman" w:cs="Times New Roman" w:eastAsia="Times New Roman" w:hAnsi="Times New Roman"/>
          <w:i/>
          <w:iCs/>
          <w:color w:val="555555"/>
          <w:sz w:val="20"/>
          <w:szCs w:val="20"/>
        </w:rPr>
        <w:t xml:space="preserve">Repository: github.com/zfifteen/lr-adapt-proxy</w:t>
      </w:r>
    </w:p>
    <w:p>
      <w:pPr>
        <w:pBdr>
          <w:top w:val="single" w:color="CCCCCC" w:sz="2"/>
          <w:bottom w:val="single" w:color="CCCCCC" w:sz="2"/>
        </w:pBdr>
        <w:spacing w:before="160" w:after="160"/>
      </w:pPr>
      <w:r>
        <w:rPr>
          <w:rFonts w:ascii="Times New Roman" w:cs="Times New Roman" w:eastAsia="Times New Roman" w:hAnsi="Times New Roman"/>
          <w:b/>
          <w:bCs/>
          <w:sz w:val="22"/>
          <w:szCs w:val="22"/>
        </w:rPr>
        <w:t xml:space="preserve">Abstract</w:t>
      </w:r>
    </w:p>
    <w:p>
      <w:pPr>
        <w:spacing w:after="160" w:line="360"/>
        <w:jc w:val="both"/>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External sigma controllers for CMA-ES adjust step size using observed fitness signals without modifying internal covariance update rules. While empirically effective, their failure modes are poorly characterized. </w:t>
      </w: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We conducted a high-rigor mechanism-proof sweep (108,000 runs; 15 geometry and threshold variants; 4 functions × 3 dimensions × 3 noise levels; 100 evaluation seeds) to test whether </w:t>
      </w:r>
      <w:r>
        <w:rPr>
          <w:rFonts w:ascii="Courier New" w:cs="Courier New" w:eastAsia="Courier New" w:hAnsi="Courier New"/>
          <w:sz w:val="20"/>
          <w:szCs w:val="20"/>
        </w:rPr>
        <w:t xml:space="preserve">lr_adapt_proxy</w:t>
      </w:r>
      <w:r>
        <w:rPr>
          <w:rFonts w:ascii="Times New Roman" w:cs="Times New Roman" w:eastAsia="Times New Roman" w:hAnsi="Times New Roman"/>
          <w:sz w:val="22"/>
          <w:szCs w:val="22"/>
        </w:rPr>
        <w:t xml:space="preserve"> wins or loses primarily based on how quickly it enters a sigma-floor-dominated regime. Per-generation telemetry was collected via a hybrid trace contract covering target cells and a seed-based sample. </w:t>
      </w: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Floor-time features were strongly predictive of outcomes beyond endpoint SNR statistics (ΔAIC = 1,872; p = 2.92×10</w:t>
      </w:r>
      <w:r>
        <w:rPr>
          <w:rFonts w:ascii="Times New Roman" w:cs="Times New Roman" w:eastAsia="Times New Roman" w:hAnsi="Times New Roman"/>
          <w:sz w:val="22"/>
          <w:szCs w:val="22"/>
          <w:vertAlign w:val="superscript"/>
        </w:rPr>
        <w:t xml:space="preserve">⁻⁹²</w:t>
      </w:r>
      <w:r>
        <w:rPr>
          <w:rFonts w:ascii="Times New Roman" w:cs="Times New Roman" w:eastAsia="Times New Roman" w:hAnsi="Times New Roman"/>
          <w:sz w:val="22"/>
          <w:szCs w:val="22"/>
        </w:rPr>
        <w:t xml:space="preserve">; n = 54,000). The sigma-floor minimum ratio (r_min) was identified as the dominant geometric control variable. A monotone performance relationship was observed across r_min values. The pre-registered target-cell improvement criterion (P1) was not globally supported, revealing that projected Adaptive Window Fraction (AWF) is a useful design-time prior but not a sufficient predictor of realized regime dynamics. </w:t>
      </w:r>
      <w:r>
        <w:rPr>
          <w:rFonts w:ascii="Times New Roman" w:cs="Times New Roman" w:eastAsia="Times New Roman" w:hAnsi="Times New Roman"/>
          <w:b/>
          <w:bCs/>
          <w:sz w:val="22"/>
          <w:szCs w:val="22"/>
        </w:rPr>
        <w:t xml:space="preserve">Conclusions. </w:t>
      </w:r>
      <w:r>
        <w:rPr>
          <w:rFonts w:ascii="Times New Roman" w:cs="Times New Roman" w:eastAsia="Times New Roman" w:hAnsi="Times New Roman"/>
          <w:sz w:val="22"/>
          <w:szCs w:val="22"/>
        </w:rPr>
        <w:t xml:space="preserve">We introduce the </w:t>
      </w:r>
      <w:r>
        <w:rPr>
          <w:rFonts w:ascii="Times New Roman" w:cs="Times New Roman" w:eastAsia="Times New Roman" w:hAnsi="Times New Roman"/>
          <w:b/>
          <w:bCs/>
          <w:sz w:val="22"/>
          <w:szCs w:val="22"/>
        </w:rPr>
        <w:t xml:space="preserve">Regime Occupancy Model</w:t>
      </w:r>
      <w:r>
        <w:rPr>
          <w:rFonts w:ascii="Times New Roman" w:cs="Times New Roman" w:eastAsia="Times New Roman" w:hAnsi="Times New Roman"/>
          <w:sz w:val="22"/>
          <w:szCs w:val="22"/>
        </w:rPr>
        <w:t xml:space="preserve"> as a distinct predictive model class in which outcomes are explained by the temporal distribution of behavioral states over the run horizon, rather than endpoint diagnostics alone. This framing implies that budget-relative floor geometry should be treated as a first-class design variable in external adaptation wrappers, and that a projected AWF threshold constitutes a practical pre-run configuration gate for short-budget noisy black-box optimization.</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sz w:val="22"/>
          <w:szCs w:val="22"/>
        </w:rPr>
        <w:t xml:space="preserve">CMA-ES is among the most effective algorithms for black-box optimization under noisy conditions. Its internal adaptation machinery — covariance update, evolution paths, cumulative step-size adaptation — is well-studied and theoretically grounded. External control layers, by contrast, receive considerably less formal attention. These wrappers augment step-size behavior using fitness-space signals without modifying internal update equations, making them simple to implement and drop-in compatible with existing pipelines.</w:t>
      </w:r>
    </w:p>
    <w:p>
      <w:pPr>
        <w:spacing w:after="160" w:line="360"/>
        <w:jc w:val="both"/>
      </w:pPr>
      <w:r>
        <w:rPr>
          <w:rFonts w:ascii="Times New Roman" w:cs="Times New Roman" w:eastAsia="Times New Roman" w:hAnsi="Times New Roman"/>
          <w:sz w:val="22"/>
          <w:szCs w:val="22"/>
        </w:rPr>
        <w:t xml:space="preserve">This study examines </w:t>
      </w:r>
      <w:r>
        <w:rPr>
          <w:rFonts w:ascii="Courier New" w:cs="Courier New" w:eastAsia="Courier New" w:hAnsi="Courier New"/>
          <w:sz w:val="20"/>
          <w:szCs w:val="20"/>
        </w:rPr>
        <w:t xml:space="preserve">lr_adapt_proxy</w:t>
      </w:r>
      <w:r>
        <w:rPr>
          <w:rFonts w:ascii="Times New Roman" w:cs="Times New Roman" w:eastAsia="Times New Roman" w:hAnsi="Times New Roman"/>
          <w:sz w:val="22"/>
          <w:szCs w:val="22"/>
        </w:rPr>
        <w:t xml:space="preserve">, a repository-local external controller that computes a per-generation signal-to-noise ratio (SNR) from fitness observations, smooths it with exponential moving average (EMA), and applies multiplicative adjustments to </w:t>
      </w:r>
      <w:r>
        <w:rPr>
          <w:rFonts w:ascii="Courier New" w:cs="Courier New" w:eastAsia="Courier New" w:hAnsi="Courier New"/>
          <w:sz w:val="20"/>
          <w:szCs w:val="20"/>
        </w:rPr>
        <w:t xml:space="preserve">es.sigma</w:t>
      </w:r>
      <w:r>
        <w:rPr>
          <w:rFonts w:ascii="Times New Roman" w:cs="Times New Roman" w:eastAsia="Times New Roman" w:hAnsi="Times New Roman"/>
          <w:sz w:val="22"/>
          <w:szCs w:val="22"/>
        </w:rPr>
        <w:t xml:space="preserve"> within configured bounds. Prior benchmark results demonstrated strong aggregate performance (34/36 cells significant after Benjamini-Hochberg FDR correction; median Δ = −18.87 vs. vanilla CMA-ES) alongside a structured win/loss pattern by function family that endpoint diagnostics could not fully explain.</w:t>
      </w:r>
    </w:p>
    <w:p>
      <w:pPr>
        <w:spacing w:after="160" w:line="360"/>
        <w:jc w:val="both"/>
      </w:pPr>
      <w:r>
        <w:rPr>
          <w:rFonts w:ascii="Times New Roman" w:cs="Times New Roman" w:eastAsia="Times New Roman" w:hAnsi="Times New Roman"/>
          <w:sz w:val="22"/>
          <w:szCs w:val="22"/>
        </w:rPr>
        <w:t xml:space="preserve">The present work addresses this explanatory gap. We formalize the concept of Adaptive Window Fraction (AWF) as a design-time proxy for floor-collision geometry, implement per-generation telemetry to measure realized floor dynamics, and test whether regime occupancy features — specifically time-to-first-floor and fraction-at-floor — explain outcome variance beyond endpoint SNR statistics. We further characterize the independent effects of geometric controls (floor level, contraction rate) and threshold controls (SNR firing thresholds) on realized regime behavior.</w:t>
      </w:r>
    </w:p>
    <w:p>
      <w:pPr>
        <w:pStyle w:val="Heading1"/>
        <w:spacing w:before="360" w:after="160"/>
      </w:pPr>
      <w:r>
        <w:rPr>
          <w:rFonts w:ascii="Times New Roman" w:cs="Times New Roman" w:eastAsia="Times New Roman" w:hAnsi="Times New Roman"/>
          <w:b/>
          <w:bCs/>
          <w:sz w:val="28"/>
          <w:szCs w:val="28"/>
        </w:rPr>
        <w:t xml:space="preserve">2. Background and Motivation</w:t>
      </w:r>
    </w:p>
    <w:p>
      <w:pPr>
        <w:pStyle w:val="Heading2"/>
        <w:spacing w:before="280" w:after="120"/>
      </w:pPr>
      <w:r>
        <w:rPr>
          <w:rFonts w:ascii="Times New Roman" w:cs="Times New Roman" w:eastAsia="Times New Roman" w:hAnsi="Times New Roman"/>
          <w:b/>
          <w:bCs/>
          <w:sz w:val="24"/>
          <w:szCs w:val="24"/>
        </w:rPr>
        <w:t xml:space="preserve">2.1 The lr_adapt_proxy Algorithm</w:t>
      </w:r>
    </w:p>
    <w:p>
      <w:pPr>
        <w:spacing w:after="160" w:line="360"/>
        <w:jc w:val="both"/>
      </w:pPr>
      <w:r>
        <w:rPr>
          <w:rFonts w:ascii="Times New Roman" w:cs="Times New Roman" w:eastAsia="Times New Roman" w:hAnsi="Times New Roman"/>
          <w:sz w:val="22"/>
          <w:szCs w:val="22"/>
        </w:rPr>
        <w:t xml:space="preserve">At each generation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the proxy computes a progress signal </w:t>
      </w:r>
      <w:r>
        <w:rPr>
          <w:rFonts w:ascii="Times New Roman" w:cs="Times New Roman" w:eastAsia="Times New Roman" w:hAnsi="Times New Roman"/>
          <w:i/>
          <w:iCs/>
          <w:sz w:val="22"/>
          <w:szCs w:val="22"/>
        </w:rPr>
        <w:t xml:space="preserve">signal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max(b*</w:t>
      </w:r>
      <w:r>
        <w:rPr>
          <w:rFonts w:ascii="Times New Roman" w:cs="Times New Roman" w:eastAsia="Times New Roman" w:hAnsi="Times New Roman"/>
          <w:sz w:val="22"/>
          <w:szCs w:val="22"/>
          <w:vertAlign w:val="subscript"/>
        </w:rPr>
        <w:t xml:space="preserve">t−1</w:t>
      </w:r>
      <w:r>
        <w:rPr>
          <w:rFonts w:ascii="Times New Roman" w:cs="Times New Roman" w:eastAsia="Times New Roman" w:hAnsi="Times New Roman"/>
          <w:sz w:val="22"/>
          <w:szCs w:val="22"/>
        </w:rPr>
        <w:t xml:space="preserve"> − b</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0), where b</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the current generation minimum and b* is the running best. Noise is estimated as the robust spread of the fitness population: noise</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1.4826 × MAD(f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ε. The SNR is EMA-smoothed and compared against configurable thresholds to select a multiplicative sigma factor k ∈ {k</w:t>
      </w:r>
      <w:r>
        <w:rPr>
          <w:rFonts w:ascii="Times New Roman" w:cs="Times New Roman" w:eastAsia="Times New Roman" w:hAnsi="Times New Roman"/>
          <w:sz w:val="22"/>
          <w:szCs w:val="22"/>
          <w:vertAlign w:val="subscript"/>
        </w:rPr>
        <w:t xml:space="preserve">down</w:t>
      </w:r>
      <w:r>
        <w:rPr>
          <w:rFonts w:ascii="Times New Roman" w:cs="Times New Roman" w:eastAsia="Times New Roman" w:hAnsi="Times New Roman"/>
          <w:sz w:val="22"/>
          <w:szCs w:val="22"/>
        </w:rPr>
        <w:t xml:space="preserve">, 1, k</w:t>
      </w:r>
      <w:r>
        <w:rPr>
          <w:rFonts w:ascii="Times New Roman" w:cs="Times New Roman" w:eastAsia="Times New Roman" w:hAnsi="Times New Roman"/>
          <w:sz w:val="22"/>
          <w:szCs w:val="22"/>
          <w:vertAlign w:val="subscript"/>
        </w:rPr>
        <w:t xml:space="preserve">up</w:t>
      </w:r>
      <w:r>
        <w:rPr>
          <w:rFonts w:ascii="Times New Roman" w:cs="Times New Roman" w:eastAsia="Times New Roman" w:hAnsi="Times New Roman"/>
          <w:sz w:val="22"/>
          <w:szCs w:val="22"/>
        </w:rPr>
        <w:t xml:space="preserve">}. The updated sigma is clamped to [σ</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The proxy operates post-tell and modifies only </w:t>
      </w:r>
      <w:r>
        <w:rPr>
          <w:rFonts w:ascii="Courier New" w:cs="Courier New" w:eastAsia="Courier New" w:hAnsi="Courier New"/>
          <w:sz w:val="20"/>
          <w:szCs w:val="20"/>
        </w:rPr>
        <w:t xml:space="preserve">es.sigma</w:t>
      </w:r>
      <w:r>
        <w:rPr>
          <w:rFonts w:ascii="Times New Roman" w:cs="Times New Roman" w:eastAsia="Times New Roman" w:hAnsi="Times New Roman"/>
          <w:sz w:val="22"/>
          <w:szCs w:val="22"/>
        </w:rPr>
        <w:t xml:space="preserve">; internal pycma covariance updates are unaffected.</w:t>
      </w:r>
    </w:p>
    <w:p>
      <w:pPr>
        <w:pStyle w:val="Heading2"/>
        <w:spacing w:before="280" w:after="120"/>
      </w:pPr>
      <w:r>
        <w:rPr>
          <w:rFonts w:ascii="Times New Roman" w:cs="Times New Roman" w:eastAsia="Times New Roman" w:hAnsi="Times New Roman"/>
          <w:b/>
          <w:bCs/>
          <w:sz w:val="24"/>
          <w:szCs w:val="24"/>
        </w:rPr>
        <w:t xml:space="preserve">2.2 The AWF Concept</w:t>
      </w:r>
    </w:p>
    <w:p>
      <w:pPr>
        <w:spacing w:after="160" w:line="360"/>
        <w:jc w:val="both"/>
      </w:pPr>
      <w:r>
        <w:rPr>
          <w:rFonts w:ascii="Times New Roman" w:cs="Times New Roman" w:eastAsia="Times New Roman" w:hAnsi="Times New Roman"/>
          <w:sz w:val="22"/>
          <w:szCs w:val="22"/>
        </w:rPr>
        <w:t xml:space="preserve">The Adaptive Window Fraction (AWF) formalizes a geometric property of the proxy configuration. Under sustained down-stepping from the initial sigma, the minimum number of generations required to reach the sigma floor is:</w:t>
      </w:r>
    </w:p>
    <w:p>
      <w:pPr>
        <w:spacing w:before="160" w:after="160"/>
        <w:jc w:val="center"/>
      </w:pPr>
      <w:r>
        <w:rPr>
          <w:rFonts w:ascii="Courier New" w:cs="Courier New" w:eastAsia="Courier New" w:hAnsi="Courier New"/>
          <w:sz w:val="22"/>
          <w:szCs w:val="22"/>
        </w:rPr>
        <w:t xml:space="preserve">N_floor = ⌈ log(r_min) / log(k_down) ⌉</w:t>
      </w:r>
    </w:p>
    <w:p>
      <w:pPr>
        <w:spacing w:after="160" w:line="360"/>
        <w:jc w:val="both"/>
      </w:pPr>
      <w:r>
        <w:rPr>
          <w:rFonts w:ascii="Times New Roman" w:cs="Times New Roman" w:eastAsia="Times New Roman" w:hAnsi="Times New Roman"/>
          <w:sz w:val="22"/>
          <w:szCs w:val="22"/>
        </w:rPr>
        <w:t xml:space="preserve">AWF is then defined as N</w:t>
      </w:r>
      <w:r>
        <w:rPr>
          <w:rFonts w:ascii="Times New Roman" w:cs="Times New Roman" w:eastAsia="Times New Roman" w:hAnsi="Times New Roman"/>
          <w:sz w:val="22"/>
          <w:szCs w:val="22"/>
          <w:vertAlign w:val="subscript"/>
        </w:rPr>
        <w:t xml:space="preserve">floor</w:t>
      </w:r>
      <w:r>
        <w:rPr>
          <w:rFonts w:ascii="Times New Roman" w:cs="Times New Roman" w:eastAsia="Times New Roman" w:hAnsi="Times New Roman"/>
          <w:sz w:val="22"/>
          <w:szCs w:val="22"/>
        </w:rPr>
        <w:t xml:space="preserve"> / G, where G is total run length in generations. For the baseline configuration (r</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0.10, k</w:t>
      </w:r>
      <w:r>
        <w:rPr>
          <w:rFonts w:ascii="Times New Roman" w:cs="Times New Roman" w:eastAsia="Times New Roman" w:hAnsi="Times New Roman"/>
          <w:sz w:val="22"/>
          <w:szCs w:val="22"/>
          <w:vertAlign w:val="subscript"/>
        </w:rPr>
        <w:t xml:space="preserve">down</w:t>
      </w:r>
      <w:r>
        <w:rPr>
          <w:rFonts w:ascii="Times New Roman" w:cs="Times New Roman" w:eastAsia="Times New Roman" w:hAnsi="Times New Roman"/>
          <w:sz w:val="22"/>
          <w:szCs w:val="22"/>
        </w:rPr>
        <w:t xml:space="preserve"> = 0.90, G = 100), AWF = 22/100 = 0.22. The interpretation is that floor contact is geometrically achievable after approximately one-fifth of the run under persistent down-stepping.</w:t>
      </w:r>
    </w:p>
    <w:p>
      <w:pPr>
        <w:spacing w:after="160" w:line="360"/>
        <w:jc w:val="both"/>
      </w:pPr>
      <w:r>
        <w:rPr>
          <w:rFonts w:ascii="Times New Roman" w:cs="Times New Roman" w:eastAsia="Times New Roman" w:hAnsi="Times New Roman"/>
          <w:sz w:val="22"/>
          <w:szCs w:val="22"/>
        </w:rPr>
        <w:t xml:space="preserve">AWF is a design-time constant derivable from configuration parameters. A central question of this study is whether projected AWF predicts realized floor dynamics, and whether realized floor dynamics predict outcomes, with greater fidelity than endpoint SNR statistics.</w:t>
      </w:r>
    </w:p>
    <w:p>
      <w:pPr>
        <w:pStyle w:val="Heading1"/>
        <w:spacing w:before="360" w:after="160"/>
      </w:pPr>
      <w:r>
        <w:rPr>
          <w:rFonts w:ascii="Times New Roman" w:cs="Times New Roman" w:eastAsia="Times New Roman" w:hAnsi="Times New Roman"/>
          <w:b/>
          <w:bCs/>
          <w:sz w:val="28"/>
          <w:szCs w:val="28"/>
        </w:rPr>
        <w:t xml:space="preserve">3. Experimental Protocol</w:t>
      </w:r>
    </w:p>
    <w:p>
      <w:pPr>
        <w:pStyle w:val="Heading2"/>
        <w:spacing w:before="280" w:after="120"/>
      </w:pPr>
      <w:r>
        <w:rPr>
          <w:rFonts w:ascii="Times New Roman" w:cs="Times New Roman" w:eastAsia="Times New Roman" w:hAnsi="Times New Roman"/>
          <w:b/>
          <w:bCs/>
          <w:sz w:val="24"/>
          <w:szCs w:val="24"/>
        </w:rPr>
        <w:t xml:space="preserve">3.1 Sweep Design</w:t>
      </w:r>
    </w:p>
    <w:p>
      <w:pPr>
        <w:spacing w:after="160" w:line="360"/>
        <w:jc w:val="both"/>
      </w:pPr>
      <w:r>
        <w:rPr>
          <w:rFonts w:ascii="Times New Roman" w:cs="Times New Roman" w:eastAsia="Times New Roman" w:hAnsi="Times New Roman"/>
          <w:sz w:val="22"/>
          <w:szCs w:val="22"/>
        </w:rPr>
        <w:t xml:space="preserve">The mechanism-proof sweep compared </w:t>
      </w:r>
      <w:r>
        <w:rPr>
          <w:rFonts w:ascii="Courier New" w:cs="Courier New" w:eastAsia="Courier New" w:hAnsi="Courier New"/>
          <w:sz w:val="20"/>
          <w:szCs w:val="20"/>
        </w:rPr>
        <w:t xml:space="preserve">lr_adapt_proxy</w:t>
      </w:r>
      <w:r>
        <w:rPr>
          <w:rFonts w:ascii="Times New Roman" w:cs="Times New Roman" w:eastAsia="Times New Roman" w:hAnsi="Times New Roman"/>
          <w:sz w:val="22"/>
          <w:szCs w:val="22"/>
        </w:rPr>
        <w:t xml:space="preserve"> against </w:t>
      </w:r>
      <w:r>
        <w:rPr>
          <w:rFonts w:ascii="Courier New" w:cs="Courier New" w:eastAsia="Courier New" w:hAnsi="Courier New"/>
          <w:sz w:val="20"/>
          <w:szCs w:val="20"/>
        </w:rPr>
        <w:t xml:space="preserve">vanilla_cma</w:t>
      </w:r>
      <w:r>
        <w:rPr>
          <w:rFonts w:ascii="Times New Roman" w:cs="Times New Roman" w:eastAsia="Times New Roman" w:hAnsi="Times New Roman"/>
          <w:sz w:val="22"/>
          <w:szCs w:val="22"/>
        </w:rPr>
        <w:t xml:space="preserve"> across 15 variants: 12 geometry arm variants (</w:t>
      </w:r>
      <w:r>
        <w:rPr>
          <w:rFonts w:ascii="Courier New" w:cs="Courier New" w:eastAsia="Courier New" w:hAnsi="Courier New"/>
          <w:sz w:val="20"/>
          <w:szCs w:val="20"/>
        </w:rPr>
        <w:t xml:space="preserve">k_down × r_min</w:t>
      </w:r>
      <w:r>
        <w:rPr>
          <w:rFonts w:ascii="Times New Roman" w:cs="Times New Roman" w:eastAsia="Times New Roman" w:hAnsi="Times New Roman"/>
          <w:sz w:val="22"/>
          <w:szCs w:val="22"/>
        </w:rPr>
        <w:t xml:space="preserve"> grid) and 3 threshold-control arm variants (SNR threshold pairs at fixed baseline geometry). The full benchmark matrix comprised 4 functions (Sphere, Rosenbrock, Rastrigin, Ellipsoid cond=10</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 3 dimensions (10, 20, 40) × 3 noise levels (σ</w:t>
      </w:r>
      <w:r>
        <w:rPr>
          <w:rFonts w:ascii="Times New Roman" w:cs="Times New Roman" w:eastAsia="Times New Roman" w:hAnsi="Times New Roman"/>
          <w:sz w:val="22"/>
          <w:szCs w:val="22"/>
          <w:vertAlign w:val="subscript"/>
        </w:rPr>
        <w:t xml:space="preserve">noise</w:t>
      </w:r>
      <w:r>
        <w:rPr>
          <w:rFonts w:ascii="Times New Roman" w:cs="Times New Roman" w:eastAsia="Times New Roman" w:hAnsi="Times New Roman"/>
          <w:sz w:val="22"/>
          <w:szCs w:val="22"/>
        </w:rPr>
        <w:t xml:space="preserve"> ∈ {0.0, 0.1, 0.2}), yielding 36 cells. With 100 evaluation seeds per cell and 2 methods per variant, the total job count was 15 × 36 × 100 × 2 = 108,000. All 108,000 runs completed successfully.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Parameter</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Evaluation budget</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1,000 function evaluations per run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Run length (generations)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100 (population size 10)</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Initial mean</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 3, ...,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Initial sigma (σ₀)</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2.0</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Evaluation seeds</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100 (disjoint from tuning seeds)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Total runs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108,000</w:t>
            </w:r>
          </w:p>
        </w:tc>
      </w:tr>
    </w:tbl>
    <w:p>
      <w:pPr>
        <w:spacing w:before="80" w:after="200"/>
        <w:jc w:val="center"/>
      </w:pPr>
      <w:r>
        <w:rPr>
          <w:rFonts w:ascii="Times New Roman" w:cs="Times New Roman" w:eastAsia="Times New Roman" w:hAnsi="Times New Roman"/>
          <w:i/>
          <w:iCs/>
          <w:color w:val="444444"/>
          <w:sz w:val="20"/>
          <w:szCs w:val="20"/>
        </w:rPr>
        <w:t xml:space="preserve">Table 1. Fixed experimental parameters across all sweep variants.</w:t>
      </w:r>
    </w:p>
    <w:p>
      <w:pPr>
        <w:pStyle w:val="Heading2"/>
        <w:spacing w:before="280" w:after="120"/>
      </w:pPr>
      <w:r>
        <w:rPr>
          <w:rFonts w:ascii="Times New Roman" w:cs="Times New Roman" w:eastAsia="Times New Roman" w:hAnsi="Times New Roman"/>
          <w:b/>
          <w:bCs/>
          <w:sz w:val="24"/>
          <w:szCs w:val="24"/>
        </w:rPr>
        <w:t xml:space="preserve">3.2 Telemetry Contract</w:t>
      </w:r>
    </w:p>
    <w:p>
      <w:pPr>
        <w:spacing w:after="160" w:line="360"/>
        <w:jc w:val="both"/>
      </w:pPr>
      <w:r>
        <w:rPr>
          <w:rFonts w:ascii="Times New Roman" w:cs="Times New Roman" w:eastAsia="Times New Roman" w:hAnsi="Times New Roman"/>
          <w:sz w:val="22"/>
          <w:szCs w:val="22"/>
        </w:rPr>
        <w:t xml:space="preserve">Per-generation sigma traces were collected via a hybrid sampling contract: all proxy runs in target cell pairs {Sphere d10/d20, Rosenbrock d10/d20} were fully traced, plus a systematic seed-based sample (seed mod 10 = 0) across the remaining matrix. The contract was enforced by a runtime gate applied per-run before the generation loop (</w:t>
      </w:r>
      <w:r>
        <w:rPr>
          <w:rFonts w:ascii="Courier New" w:cs="Courier New" w:eastAsia="Courier New" w:hAnsi="Courier New"/>
          <w:sz w:val="20"/>
          <w:szCs w:val="20"/>
        </w:rPr>
        <w:t xml:space="preserve">methods.py:157</w:t>
      </w:r>
      <w:r>
        <w:rPr>
          <w:rFonts w:ascii="Times New Roman" w:cs="Times New Roman" w:eastAsia="Times New Roman" w:hAnsi="Times New Roman"/>
          <w:sz w:val="22"/>
          <w:szCs w:val="22"/>
        </w:rPr>
        <w:t xml:space="preserve">), with per-generation rows appended at </w:t>
      </w:r>
      <w:r>
        <w:rPr>
          <w:rFonts w:ascii="Courier New" w:cs="Courier New" w:eastAsia="Courier New" w:hAnsi="Courier New"/>
          <w:sz w:val="20"/>
          <w:szCs w:val="20"/>
        </w:rPr>
        <w:t xml:space="preserve">methods.py:208</w:t>
      </w:r>
      <w:r>
        <w:rPr>
          <w:rFonts w:ascii="Times New Roman" w:cs="Times New Roman" w:eastAsia="Times New Roman" w:hAnsi="Times New Roman"/>
          <w:sz w:val="22"/>
          <w:szCs w:val="22"/>
        </w:rPr>
        <w:t xml:space="preserve"> and written post-run at </w:t>
      </w:r>
      <w:r>
        <w:rPr>
          <w:rFonts w:ascii="Courier New" w:cs="Courier New" w:eastAsia="Courier New" w:hAnsi="Courier New"/>
          <w:sz w:val="20"/>
          <w:szCs w:val="20"/>
        </w:rPr>
        <w:t xml:space="preserve">methods.py:242</w:t>
      </w:r>
      <w:r>
        <w:rPr>
          <w:rFonts w:ascii="Times New Roman" w:cs="Times New Roman" w:eastAsia="Times New Roman" w:hAnsi="Times New Roman"/>
          <w:sz w:val="22"/>
          <w:szCs w:val="22"/>
        </w:rPr>
        <w:t xml:space="preserve">. This yielded 21,600 traced proxy runs (18,000 target-cell; 3,600 seed-sampled) with zero missed target traces and zero unexpected traces.</w:t>
      </w:r>
    </w:p>
    <w:p>
      <w:pPr>
        <w:spacing w:after="160" w:line="360"/>
        <w:jc w:val="both"/>
      </w:pPr>
      <w:r>
        <w:rPr>
          <w:rFonts w:ascii="Times New Roman" w:cs="Times New Roman" w:eastAsia="Times New Roman" w:hAnsi="Times New Roman"/>
          <w:sz w:val="22"/>
          <w:szCs w:val="22"/>
        </w:rPr>
        <w:t xml:space="preserve">The hybrid contract was designed to balance storage constraints against mechanistic coverage. Full tracing of target cells ensures complete floor-timing data in the cells of primary interest, while the seed-based sample provides a representative cross-matrix profile for generalization assessment.</w:t>
      </w:r>
    </w:p>
    <w:p>
      <w:pPr>
        <w:pStyle w:val="Heading2"/>
        <w:spacing w:before="280" w:after="120"/>
      </w:pPr>
      <w:r>
        <w:rPr>
          <w:rFonts w:ascii="Times New Roman" w:cs="Times New Roman" w:eastAsia="Times New Roman" w:hAnsi="Times New Roman"/>
          <w:b/>
          <w:bCs/>
          <w:sz w:val="24"/>
          <w:szCs w:val="24"/>
        </w:rPr>
        <w:t xml:space="preserve">3.3 Pre-registered Hypotheses</w:t>
      </w:r>
    </w:p>
    <w:p>
      <w:pPr>
        <w:spacing w:after="160" w:line="360"/>
        <w:jc w:val="both"/>
      </w:pPr>
      <w:r>
        <w:rPr>
          <w:rFonts w:ascii="Times New Roman" w:cs="Times New Roman" w:eastAsia="Times New Roman" w:hAnsi="Times New Roman"/>
          <w:sz w:val="22"/>
          <w:szCs w:val="22"/>
        </w:rPr>
        <w:t xml:space="preserve">Three hypotheses were pre-registered prior to execution:</w:t>
      </w:r>
    </w:p>
    <w:p>
      <w:pPr>
        <w:pStyle w:val="ListParagraph"/>
        <w:numPr>
          <w:ilvl w:val="0"/>
          <w:numId w:val="2"/>
        </w:numPr>
      </w:pPr>
      <w:r>
        <w:rPr>
          <w:rFonts w:ascii="Times New Roman" w:cs="Times New Roman" w:eastAsia="Times New Roman" w:hAnsi="Times New Roman"/>
          <w:b/>
          <w:bCs/>
          <w:sz w:val="22"/>
          <w:szCs w:val="22"/>
        </w:rPr>
        <w:t xml:space="preserve">P1 </w:t>
      </w:r>
      <w:r>
        <w:rPr>
          <w:rFonts w:ascii="Times New Roman" w:cs="Times New Roman" w:eastAsia="Times New Roman" w:hAnsi="Times New Roman"/>
          <w:sz w:val="22"/>
          <w:szCs w:val="22"/>
        </w:rPr>
        <w:t xml:space="preserve">(Target cell recovery): High-AWF geometry variants improve ≥9/12 target loss cells (Sphere and Rosenbrock, d10/d20, all noise levels) relative to baseline geometry.</w:t>
      </w:r>
    </w:p>
    <w:p>
      <w:pPr>
        <w:pStyle w:val="ListParagraph"/>
        <w:numPr>
          <w:ilvl w:val="0"/>
          <w:numId w:val="2"/>
        </w:numPr>
      </w:pPr>
      <w:r>
        <w:rPr>
          <w:rFonts w:ascii="Times New Roman" w:cs="Times New Roman" w:eastAsia="Times New Roman" w:hAnsi="Times New Roman"/>
          <w:b/>
          <w:bCs/>
          <w:sz w:val="22"/>
          <w:szCs w:val="22"/>
        </w:rPr>
        <w:t xml:space="preserve">P2 </w:t>
      </w:r>
      <w:r>
        <w:rPr>
          <w:rFonts w:ascii="Times New Roman" w:cs="Times New Roman" w:eastAsia="Times New Roman" w:hAnsi="Times New Roman"/>
          <w:sz w:val="22"/>
          <w:szCs w:val="22"/>
        </w:rPr>
        <w:t xml:space="preserve">(Ellipsoid tradeoff): High-AWF geometry variants reduce Ellipsoid d40 advantage (≥2/3 cells less-negative) relative to baseline.</w:t>
      </w:r>
    </w:p>
    <w:p>
      <w:pPr>
        <w:pStyle w:val="ListParagraph"/>
        <w:numPr>
          <w:ilvl w:val="0"/>
          <w:numId w:val="2"/>
        </w:numPr>
      </w:pPr>
      <w:r>
        <w:rPr>
          <w:rFonts w:ascii="Times New Roman" w:cs="Times New Roman" w:eastAsia="Times New Roman" w:hAnsi="Times New Roman"/>
          <w:b/>
          <w:bCs/>
          <w:sz w:val="22"/>
          <w:szCs w:val="22"/>
        </w:rPr>
        <w:t xml:space="preserve">P3 </w:t>
      </w:r>
      <w:r>
        <w:rPr>
          <w:rFonts w:ascii="Times New Roman" w:cs="Times New Roman" w:eastAsia="Times New Roman" w:hAnsi="Times New Roman"/>
          <w:sz w:val="22"/>
          <w:szCs w:val="22"/>
        </w:rPr>
        <w:t xml:space="preserve">(Regime occupancy predictive model): A model including floor-time features (fraction-at-floor, time-to-first-floor) achieves better AIC/BIC than an endpoint-SNR-only model, with proxy_fraction_at_floor significant.</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4. Results</w:t>
      </w:r>
    </w:p>
    <w:p>
      <w:pPr>
        <w:pStyle w:val="Heading2"/>
        <w:spacing w:before="280" w:after="120"/>
      </w:pPr>
      <w:r>
        <w:rPr>
          <w:rFonts w:ascii="Times New Roman" w:cs="Times New Roman" w:eastAsia="Times New Roman" w:hAnsi="Times New Roman"/>
          <w:b/>
          <w:bCs/>
          <w:sz w:val="24"/>
          <w:szCs w:val="24"/>
        </w:rPr>
        <w:t xml:space="preserve">4.1 Hypothesis Check Outcomes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Hypothesis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Outcome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Statistic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P1: Target cell recovery</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Not supported globally</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2/5 high-AWF variants passed ≥9/12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P2: Ellipsoid d40 tradeoff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Supported (not falsified)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3/3 cells less-negative across all 5 variants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P3: Regime occupancy model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Strongly supported</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ΔAIC = 1,872; p = 2.92×10⁻⁹²; n = 54,000</w:t>
            </w:r>
          </w:p>
        </w:tc>
      </w:tr>
    </w:tbl>
    <w:p>
      <w:pPr>
        <w:spacing w:before="80" w:after="200"/>
        <w:jc w:val="center"/>
      </w:pPr>
      <w:r>
        <w:rPr>
          <w:rFonts w:ascii="Times New Roman" w:cs="Times New Roman" w:eastAsia="Times New Roman" w:hAnsi="Times New Roman"/>
          <w:i/>
          <w:iCs/>
          <w:color w:val="444444"/>
          <w:sz w:val="20"/>
          <w:szCs w:val="20"/>
        </w:rPr>
        <w:t xml:space="preserve">Table 2. Pre-registered hypothesis outcomes.</w:t>
      </w:r>
    </w:p>
    <w:p>
      <w:pPr>
        <w:pStyle w:val="Heading2"/>
        <w:spacing w:before="280" w:after="120"/>
      </w:pPr>
      <w:r>
        <w:rPr>
          <w:rFonts w:ascii="Times New Roman" w:cs="Times New Roman" w:eastAsia="Times New Roman" w:hAnsi="Times New Roman"/>
          <w:b/>
          <w:bCs/>
          <w:sz w:val="24"/>
          <w:szCs w:val="24"/>
        </w:rPr>
        <w:t xml:space="preserve">4.2 The Regime Occupancy Model (P3)</w:t>
      </w:r>
    </w:p>
    <w:p>
      <w:pPr>
        <w:spacing w:after="160" w:line="360"/>
        <w:jc w:val="both"/>
      </w:pPr>
      <w:r>
        <w:rPr>
          <w:rFonts w:ascii="Times New Roman" w:cs="Times New Roman" w:eastAsia="Times New Roman" w:hAnsi="Times New Roman"/>
          <w:sz w:val="22"/>
          <w:szCs w:val="22"/>
        </w:rPr>
        <w:t xml:space="preserve">The central empirical finding of this study is the strong support for P3. Adding floor-time features to the endpoint-SNR-only model produced an AIC improvement of 1,872 points and a BIC improvement of 1,837 points across 54,000 observations. The fraction-at-floor coefficient achieved p = 2.92×10⁻⁹². This result supports classifying the regime occupancy model as a distinct model class from endpoint-state models.</w:t>
      </w:r>
    </w:p>
    <w:p>
      <w:pPr>
        <w:spacing w:after="160" w:line="360"/>
        <w:jc w:val="both"/>
      </w:pPr>
      <w:r>
        <w:rPr>
          <w:rFonts w:ascii="Times New Roman" w:cs="Times New Roman" w:eastAsia="Times New Roman" w:hAnsi="Times New Roman"/>
          <w:sz w:val="22"/>
          <w:szCs w:val="22"/>
        </w:rPr>
        <w:t xml:space="preserve">An endpoint-state model asks: </w:t>
      </w:r>
      <w:r>
        <w:rPr>
          <w:rFonts w:ascii="Times New Roman" w:cs="Times New Roman" w:eastAsia="Times New Roman" w:hAnsi="Times New Roman"/>
          <w:i/>
          <w:iCs/>
          <w:sz w:val="22"/>
          <w:szCs w:val="22"/>
        </w:rPr>
        <w:t xml:space="preserve">what is the state of the proxy at the end of the run?</w:t>
      </w:r>
      <w:r>
        <w:rPr>
          <w:rFonts w:ascii="Times New Roman" w:cs="Times New Roman" w:eastAsia="Times New Roman" w:hAnsi="Times New Roman"/>
          <w:sz w:val="22"/>
          <w:szCs w:val="22"/>
        </w:rPr>
        <w:t xml:space="preserve"> A regime occupancy model asks: </w:t>
      </w:r>
      <w:r>
        <w:rPr>
          <w:rFonts w:ascii="Times New Roman" w:cs="Times New Roman" w:eastAsia="Times New Roman" w:hAnsi="Times New Roman"/>
          <w:i/>
          <w:iCs/>
          <w:sz w:val="22"/>
          <w:szCs w:val="22"/>
        </w:rPr>
        <w:t xml:space="preserve">how was the proxy’s adaptive budget distributed across behavioral regimes during the run?</w:t>
      </w:r>
      <w:r>
        <w:rPr>
          <w:rFonts w:ascii="Times New Roman" w:cs="Times New Roman" w:eastAsia="Times New Roman" w:hAnsi="Times New Roman"/>
          <w:sz w:val="22"/>
          <w:szCs w:val="22"/>
        </w:rPr>
        <w:t xml:space="preserve"> The magnitude of the AIC improvement indicates that these are not equivalent questions. The path through behavioral regimes carries predictive information about outcomes that is not recoverable from the terminal state alone.</w:t>
      </w:r>
    </w:p>
    <w:p>
      <w:pPr>
        <w:pStyle w:val="Heading2"/>
        <w:spacing w:before="280" w:after="120"/>
      </w:pPr>
      <w:r>
        <w:rPr>
          <w:rFonts w:ascii="Times New Roman" w:cs="Times New Roman" w:eastAsia="Times New Roman" w:hAnsi="Times New Roman"/>
          <w:b/>
          <w:bCs/>
          <w:sz w:val="24"/>
          <w:szCs w:val="24"/>
        </w:rPr>
        <w:t xml:space="preserve">4.3 Geometry Sweep Performance</w:t>
      </w:r>
    </w:p>
    <w:p>
      <w:pPr>
        <w:spacing w:after="160" w:line="360"/>
        <w:jc w:val="both"/>
      </w:pPr>
      <w:r>
        <w:rPr>
          <w:rFonts w:ascii="Times New Roman" w:cs="Times New Roman" w:eastAsia="Times New Roman" w:hAnsi="Times New Roman"/>
          <w:sz w:val="22"/>
          <w:szCs w:val="22"/>
        </w:rPr>
        <w:t xml:space="preserve">The performance landscape across geometry variants showed a clear monotone relationship between r_min and aggregate outcome, with r_min as the dominant lever over k_down.</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1200"/>
        <w:gridCol w:w="1000"/>
        <w:gridCol w:w="1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Variant</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r_min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k_down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AWF</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Median Δ</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Win Rate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q&lt;0.05</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geom_k093_r005</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0.05</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0.93</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−44.341</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0.603</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29/36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geom_k095_r005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−42.236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28/36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geom_k090_r005</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0.05</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−42.054</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0.612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30/36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geom_k093_r010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−23.019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35/36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geom_k090_r010 (baseline)</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0.10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−18.872</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0.505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35/36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geom_k097_r010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0.475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30/36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geom_k097_r020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0.97</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0.53</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+3.087</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0.297</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27/36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geom_k090_r020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0.90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+5.806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31/36</w:t>
            </w:r>
          </w:p>
        </w:tc>
      </w:tr>
    </w:tbl>
    <w:p>
      <w:pPr>
        <w:spacing w:before="80" w:after="200"/>
        <w:jc w:val="center"/>
      </w:pPr>
      <w:r>
        <w:rPr>
          <w:rFonts w:ascii="Times New Roman" w:cs="Times New Roman" w:eastAsia="Times New Roman" w:hAnsi="Times New Roman"/>
          <w:i/>
          <w:iCs/>
          <w:color w:val="444444"/>
          <w:sz w:val="20"/>
          <w:szCs w:val="20"/>
        </w:rPr>
        <w:t xml:space="preserve">Table 3. Geometry arm variant performance summary. Median Δ is median_of_cell_median_delta vs. vanilla CMA-ES (negative is better). *r_min and k_down differ, so AWF differs from baseline despite same k_down.</w:t>
      </w:r>
    </w:p>
    <w:p>
      <w:pPr>
        <w:spacing w:after="80"/>
      </w:pPr>
      <w:r>
        <w:t xml:space="preserve"/>
      </w:r>
    </w:p>
    <w:p>
      <w:pPr>
        <w:spacing w:after="160" w:line="360"/>
        <w:jc w:val="both"/>
      </w:pPr>
      <w:r>
        <w:rPr>
          <w:rFonts w:ascii="Times New Roman" w:cs="Times New Roman" w:eastAsia="Times New Roman" w:hAnsi="Times New Roman"/>
          <w:sz w:val="22"/>
          <w:szCs w:val="22"/>
        </w:rPr>
        <w:t xml:space="preserve">A critical interpretive note on the cells_q_lt_0.05 column: significance count alone is misleading at 100 seeds per cell. The variant geom_k090_r020 achieves 31 significant cells but with a sign split of 6 better / 25 worse — meaning most of its significant results reflect significantly worse performance than vanilla. Directional interpretation of effect sign is therefore essential and should take precedence over significance count.</w:t>
      </w:r>
    </w:p>
    <w:p>
      <w:pPr>
        <w:pStyle w:val="Heading2"/>
        <w:spacing w:before="280" w:after="120"/>
      </w:pPr>
      <w:r>
        <w:rPr>
          <w:rFonts w:ascii="Times New Roman" w:cs="Times New Roman" w:eastAsia="Times New Roman" w:hAnsi="Times New Roman"/>
          <w:b/>
          <w:bCs/>
          <w:sz w:val="24"/>
          <w:szCs w:val="24"/>
        </w:rPr>
        <w:t xml:space="preserve">4.4 Floor Dynamics by Variant</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1600"/>
        <w:gridCol w:w="16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Variant</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TFF (gen)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FF</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Down-steps</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Up-steps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geom_k090_r010 (baseline)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55.31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0.402</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45.66</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11.68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geom_k093_r005 (best)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76.86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0.209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35.94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13.96</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geom_k095_r005</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80.80</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0.176</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38.15</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12.75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geom_k097_r020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49.32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0.477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63.20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6.84</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thctl_005_020</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62.61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0.331</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thctl_012_030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48.19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0.481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thctl_016_035</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43.18</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0.536</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w:t>
            </w:r>
          </w:p>
        </w:tc>
      </w:tr>
    </w:tbl>
    <w:p>
      <w:pPr>
        <w:spacing w:before="80" w:after="200"/>
        <w:jc w:val="center"/>
      </w:pPr>
      <w:r>
        <w:rPr>
          <w:rFonts w:ascii="Times New Roman" w:cs="Times New Roman" w:eastAsia="Times New Roman" w:hAnsi="Times New Roman"/>
          <w:i/>
          <w:iCs/>
          <w:color w:val="444444"/>
          <w:sz w:val="20"/>
          <w:szCs w:val="20"/>
        </w:rPr>
        <w:t xml:space="preserve">Table 4. Floor telemetry by variant. TFF = time to first floor (generations); FF = fraction of generations at floor.</w:t>
      </w:r>
    </w:p>
    <w:p>
      <w:pPr>
        <w:spacing w:after="80"/>
      </w:pPr>
      <w:r>
        <w:t xml:space="preserve"/>
      </w:r>
    </w:p>
    <w:p>
      <w:pPr>
        <w:spacing w:after="160" w:line="360"/>
        <w:jc w:val="both"/>
      </w:pPr>
      <w:r>
        <w:rPr>
          <w:rFonts w:ascii="Times New Roman" w:cs="Times New Roman" w:eastAsia="Times New Roman" w:hAnsi="Times New Roman"/>
          <w:sz w:val="22"/>
          <w:szCs w:val="22"/>
        </w:rPr>
        <w:t xml:space="preserve">The correlation between projected AWF and mean time-to-first-floor was strongly positive (ρ ≈ +0.697, p ≈ 0.012), and between projected AWF and mean fraction-at-floor strongly negative (ρ ≈ −0.697, p ≈ 0.012). Projected AWF is therefore a reliable design-time proxy for floor timing and occupancy. However, projected AWF showed weak correlation with aggregate performance, demonstrating that floor dynamics are a necessary but not sufficient explanation of outcomes.</w:t>
      </w:r>
    </w:p>
    <w:p>
      <w:pPr>
        <w:pStyle w:val="Heading2"/>
        <w:spacing w:before="280" w:after="120"/>
      </w:pPr>
      <w:r>
        <w:rPr>
          <w:rFonts w:ascii="Times New Roman" w:cs="Times New Roman" w:eastAsia="Times New Roman" w:hAnsi="Times New Roman"/>
          <w:b/>
          <w:bCs/>
          <w:sz w:val="24"/>
          <w:szCs w:val="24"/>
        </w:rPr>
        <w:t xml:space="preserve">4.5 The geom_k097_r020 Dissociation</w:t>
      </w:r>
    </w:p>
    <w:p>
      <w:pPr>
        <w:spacing w:after="160" w:line="360"/>
        <w:jc w:val="both"/>
      </w:pPr>
      <w:r>
        <w:rPr>
          <w:rFonts w:ascii="Times New Roman" w:cs="Times New Roman" w:eastAsia="Times New Roman" w:hAnsi="Times New Roman"/>
          <w:sz w:val="22"/>
          <w:szCs w:val="22"/>
        </w:rPr>
        <w:t xml:space="preserve">The variant geom_k097_r020 provides the clearest evidence that projected AWF alone is insufficient. This variant had a projected AWF of 0.53 — nominally high, suggesting delayed floor contact. Yet it improved 0/12 target cells relative to baseline and produced a positive aggregate delta (+3.09), indicating net harm versus vanilla.</w:t>
      </w:r>
    </w:p>
    <w:p>
      <w:pPr>
        <w:spacing w:after="160" w:line="360"/>
        <w:jc w:val="both"/>
      </w:pPr>
      <w:r>
        <w:rPr>
          <w:rFonts w:ascii="Times New Roman" w:cs="Times New Roman" w:eastAsia="Times New Roman" w:hAnsi="Times New Roman"/>
          <w:sz w:val="22"/>
          <w:szCs w:val="22"/>
        </w:rPr>
        <w:t xml:space="preserve">Telemetry reveals the mechanism: while the overall floor profile showed mean TFF = 49.32 and mean FF = 0.477, the target-cell profile was substantially worse. For the 1,200 target-cell runs, mean TFF fell to 37.38 and mean FF rose to 0.624. In contrast, the 2,400 non-target runs showed mean TFF = 55.29 and mean FF = 0.403. The most extreme examples were Rosenbrock d10 (FF = 0.693, TFF = 28.38) and Sphere d10 (FF = 0.691, TFF = 31.36).</w:t>
      </w:r>
    </w:p>
    <w:p>
      <w:pPr>
        <w:spacing w:after="160" w:line="360"/>
        <w:jc w:val="both"/>
      </w:pPr>
      <w:r>
        <w:rPr>
          <w:rFonts w:ascii="Times New Roman" w:cs="Times New Roman" w:eastAsia="Times New Roman" w:hAnsi="Times New Roman"/>
          <w:sz w:val="22"/>
          <w:szCs w:val="22"/>
        </w:rPr>
        <w:t xml:space="preserve">This concentration of floor dominance in the cells where the variant failed demonstrates that global projected AWF masks cell-conditional floor dynamics. A fully specified regime occupancy model requires cell-level features, not only run-level aggregates. The geom_k097_r020 result is therefore not a failure of the mechanism hypothesis — it is a refinement of the operationalization.</w:t>
      </w:r>
    </w:p>
    <w:p>
      <w:pPr>
        <w:pStyle w:val="Heading2"/>
        <w:spacing w:before="280" w:after="120"/>
      </w:pPr>
      <w:r>
        <w:rPr>
          <w:rFonts w:ascii="Times New Roman" w:cs="Times New Roman" w:eastAsia="Times New Roman" w:hAnsi="Times New Roman"/>
          <w:b/>
          <w:bCs/>
          <w:sz w:val="24"/>
          <w:szCs w:val="24"/>
        </w:rPr>
        <w:t xml:space="preserve">4.6 Threshold Controls: Sticky Floor Behavior</w:t>
      </w:r>
    </w:p>
    <w:p>
      <w:pPr>
        <w:spacing w:after="160" w:line="360"/>
        <w:jc w:val="both"/>
      </w:pPr>
      <w:r>
        <w:rPr>
          <w:rFonts w:ascii="Times New Roman" w:cs="Times New Roman" w:eastAsia="Times New Roman" w:hAnsi="Times New Roman"/>
          <w:sz w:val="22"/>
          <w:szCs w:val="22"/>
        </w:rPr>
        <w:t xml:space="preserve">The threshold-control arm tested three SNR threshold pairs at fixed baseline geometry. Realized floor dynamics varied substantially despite unchanged k_down and r_min:</w:t>
      </w:r>
    </w:p>
    <w:p>
      <w:pPr>
        <w:pStyle w:val="ListParagraph"/>
        <w:numPr>
          <w:ilvl w:val="0"/>
          <w:numId w:val="3"/>
        </w:numPr>
      </w:pPr>
      <w:r>
        <w:rPr>
          <w:rFonts w:ascii="Times New Roman" w:cs="Times New Roman" w:eastAsia="Times New Roman" w:hAnsi="Times New Roman"/>
          <w:b/>
          <w:bCs/>
          <w:sz w:val="22"/>
          <w:szCs w:val="22"/>
        </w:rPr>
        <w:t xml:space="preserve">thctl_005_020</w:t>
      </w:r>
      <w:r>
        <w:rPr>
          <w:rFonts w:ascii="Times New Roman" w:cs="Times New Roman" w:eastAsia="Times New Roman" w:hAnsi="Times New Roman"/>
          <w:sz w:val="22"/>
          <w:szCs w:val="22"/>
        </w:rPr>
        <w:t xml:space="preserve"> (wider threshold band): later floor entry (TFF = 62.61), lower occupancy (FF = 0.331)</w:t>
      </w:r>
    </w:p>
    <w:p>
      <w:pPr>
        <w:pStyle w:val="ListParagraph"/>
        <w:numPr>
          <w:ilvl w:val="0"/>
          <w:numId w:val="3"/>
        </w:numPr>
      </w:pPr>
      <w:r>
        <w:rPr>
          <w:rFonts w:ascii="Times New Roman" w:cs="Times New Roman" w:eastAsia="Times New Roman" w:hAnsi="Times New Roman"/>
          <w:b/>
          <w:bCs/>
          <w:sz w:val="22"/>
          <w:szCs w:val="22"/>
        </w:rPr>
        <w:t xml:space="preserve">thctl_012_030</w:t>
      </w:r>
      <w:r>
        <w:rPr>
          <w:rFonts w:ascii="Times New Roman" w:cs="Times New Roman" w:eastAsia="Times New Roman" w:hAnsi="Times New Roman"/>
          <w:sz w:val="22"/>
          <w:szCs w:val="22"/>
        </w:rPr>
        <w:t xml:space="preserve">: TFF = 48.19, FF = 0.481</w:t>
      </w:r>
    </w:p>
    <w:p>
      <w:pPr>
        <w:pStyle w:val="ListParagraph"/>
        <w:numPr>
          <w:ilvl w:val="0"/>
          <w:numId w:val="3"/>
        </w:numPr>
      </w:pPr>
      <w:r>
        <w:rPr>
          <w:rFonts w:ascii="Times New Roman" w:cs="Times New Roman" w:eastAsia="Times New Roman" w:hAnsi="Times New Roman"/>
          <w:b/>
          <w:bCs/>
          <w:sz w:val="22"/>
          <w:szCs w:val="22"/>
        </w:rPr>
        <w:t xml:space="preserve">thctl_016_035</w:t>
      </w:r>
      <w:r>
        <w:rPr>
          <w:rFonts w:ascii="Times New Roman" w:cs="Times New Roman" w:eastAsia="Times New Roman" w:hAnsi="Times New Roman"/>
          <w:sz w:val="22"/>
          <w:szCs w:val="22"/>
        </w:rPr>
        <w:t xml:space="preserve"> (narrower threshold band): earliest entry (TFF = 43.18), highest occupancy (FF = 0.536)</w:t>
      </w:r>
    </w:p>
    <w:p>
      <w:pPr>
        <w:spacing w:after="80"/>
      </w:pPr>
      <w:r>
        <w:t xml:space="preserve"/>
      </w:r>
    </w:p>
    <w:p>
      <w:pPr>
        <w:spacing w:after="160" w:line="360"/>
        <w:jc w:val="both"/>
      </w:pPr>
      <w:r>
        <w:rPr>
          <w:rFonts w:ascii="Times New Roman" w:cs="Times New Roman" w:eastAsia="Times New Roman" w:hAnsi="Times New Roman"/>
          <w:sz w:val="22"/>
          <w:szCs w:val="22"/>
        </w:rPr>
        <w:t xml:space="preserve">Importantly, as thresholds tightened, down-step counts increased and up-step counts decreased — the proxy did not cycle faster between floor and non-floor states but instead locked more completely into the floor. This characterizes the floor state as absorbing rather than merely stable: once entered under tight threshold configurations, exits are suppressed, not simply delayed.</w:t>
      </w:r>
    </w:p>
    <w:p>
      <w:pPr>
        <w:spacing w:after="160" w:line="360"/>
        <w:jc w:val="both"/>
      </w:pPr>
      <w:r>
        <w:rPr>
          <w:rFonts w:ascii="Times New Roman" w:cs="Times New Roman" w:eastAsia="Times New Roman" w:hAnsi="Times New Roman"/>
          <w:sz w:val="22"/>
          <w:szCs w:val="22"/>
        </w:rPr>
        <w:t xml:space="preserve">A follow-up analysis of thctl_005_020 target-cell deltas versus baseline revealed that the improved floor profile provided only narrow recovery: 2/12 target cells improved (Sphere d10 at noise levels 0.1 and 0.2), while Rosenbrock d10/d20 showed clear regressions (e.g., Rosenbrock d20 delta changes of +3.57, +6.35, +4.01 across noise levels). Threshold and geometry controls are therefore not substitutable for Rosenbrock specifically, and at best provide complementary benefit for Sphere under low-dimensional noisy conditions.</w:t>
      </w:r>
    </w:p>
    <w:p>
      <w:pPr>
        <w:pStyle w:val="Heading1"/>
        <w:spacing w:before="360" w:after="160"/>
      </w:pPr>
      <w:r>
        <w:rPr>
          <w:rFonts w:ascii="Times New Roman" w:cs="Times New Roman" w:eastAsia="Times New Roman" w:hAnsi="Times New Roman"/>
          <w:b/>
          <w:bCs/>
          <w:sz w:val="28"/>
          <w:szCs w:val="28"/>
        </w:rPr>
        <w:t xml:space="preserve">5. The Regime Occupancy Model</w:t>
      </w:r>
    </w:p>
    <w:p>
      <w:pPr>
        <w:pStyle w:val="Heading2"/>
        <w:spacing w:before="280" w:after="120"/>
      </w:pPr>
      <w:r>
        <w:rPr>
          <w:rFonts w:ascii="Times New Roman" w:cs="Times New Roman" w:eastAsia="Times New Roman" w:hAnsi="Times New Roman"/>
          <w:b/>
          <w:bCs/>
          <w:sz w:val="24"/>
          <w:szCs w:val="24"/>
        </w:rPr>
        <w:t xml:space="preserve">5.1 Definition</w:t>
      </w:r>
    </w:p>
    <w:p>
      <w:pPr>
        <w:spacing w:after="160" w:line="360"/>
        <w:jc w:val="both"/>
      </w:pPr>
      <w:r>
        <w:rPr>
          <w:rFonts w:ascii="Times New Roman" w:cs="Times New Roman" w:eastAsia="Times New Roman" w:hAnsi="Times New Roman"/>
          <w:sz w:val="22"/>
          <w:szCs w:val="22"/>
        </w:rPr>
        <w:t xml:space="preserve">We define the </w:t>
      </w:r>
      <w:r>
        <w:rPr>
          <w:rFonts w:ascii="Times New Roman" w:cs="Times New Roman" w:eastAsia="Times New Roman" w:hAnsi="Times New Roman"/>
          <w:b/>
          <w:bCs/>
          <w:sz w:val="22"/>
          <w:szCs w:val="22"/>
        </w:rPr>
        <w:t xml:space="preserve">Regime Occupancy Model</w:t>
      </w:r>
      <w:r>
        <w:rPr>
          <w:rFonts w:ascii="Times New Roman" w:cs="Times New Roman" w:eastAsia="Times New Roman" w:hAnsi="Times New Roman"/>
          <w:sz w:val="22"/>
          <w:szCs w:val="22"/>
        </w:rPr>
        <w:t xml:space="preserve"> as a predictive model class in which optimization outcomes are explained by the temporal distribution of behavioral states (regimes) over the run horizon, rather than by endpoint state diagnostics alone. For </w:t>
      </w:r>
      <w:r>
        <w:rPr>
          <w:rFonts w:ascii="Courier New" w:cs="Courier New" w:eastAsia="Courier New" w:hAnsi="Courier New"/>
          <w:sz w:val="20"/>
          <w:szCs w:val="20"/>
        </w:rPr>
        <w:t xml:space="preserve">lr_adapt_proxy</w:t>
      </w:r>
      <w:r>
        <w:rPr>
          <w:rFonts w:ascii="Times New Roman" w:cs="Times New Roman" w:eastAsia="Times New Roman" w:hAnsi="Times New Roman"/>
          <w:sz w:val="22"/>
          <w:szCs w:val="22"/>
        </w:rPr>
        <w:t xml:space="preserve">, the three regimes are: contraction (k = k</w:t>
      </w:r>
      <w:r>
        <w:rPr>
          <w:rFonts w:ascii="Times New Roman" w:cs="Times New Roman" w:eastAsia="Times New Roman" w:hAnsi="Times New Roman"/>
          <w:sz w:val="22"/>
          <w:szCs w:val="22"/>
          <w:vertAlign w:val="subscript"/>
        </w:rPr>
        <w:t xml:space="preserve">down</w:t>
      </w:r>
      <w:r>
        <w:rPr>
          <w:rFonts w:ascii="Times New Roman" w:cs="Times New Roman" w:eastAsia="Times New Roman" w:hAnsi="Times New Roman"/>
          <w:sz w:val="22"/>
          <w:szCs w:val="22"/>
        </w:rPr>
        <w:t xml:space="preserve">), neutral (k = 1), and expansion (k = k</w:t>
      </w:r>
      <w:r>
        <w:rPr>
          <w:rFonts w:ascii="Times New Roman" w:cs="Times New Roman" w:eastAsia="Times New Roman" w:hAnsi="Times New Roman"/>
          <w:sz w:val="22"/>
          <w:szCs w:val="22"/>
          <w:vertAlign w:val="subscript"/>
        </w:rPr>
        <w:t xml:space="preserve">up</w:t>
      </w:r>
      <w:r>
        <w:rPr>
          <w:rFonts w:ascii="Times New Roman" w:cs="Times New Roman" w:eastAsia="Times New Roman" w:hAnsi="Times New Roman"/>
          <w:sz w:val="22"/>
          <w:szCs w:val="22"/>
        </w:rPr>
        <w:t xml:space="preserve">). The key features are the fraction of budget spent in each regime and the timing of regime transitions, particularly initial floor contact.</w:t>
      </w:r>
    </w:p>
    <w:p>
      <w:pPr>
        <w:pStyle w:val="Heading2"/>
        <w:spacing w:before="280" w:after="120"/>
      </w:pPr>
      <w:r>
        <w:rPr>
          <w:rFonts w:ascii="Times New Roman" w:cs="Times New Roman" w:eastAsia="Times New Roman" w:hAnsi="Times New Roman"/>
          <w:b/>
          <w:bCs/>
          <w:sz w:val="24"/>
          <w:szCs w:val="24"/>
        </w:rPr>
        <w:t xml:space="preserve">5.2 Contrast with Endpoint Models</w:t>
      </w:r>
    </w:p>
    <w:p>
      <w:pPr>
        <w:spacing w:after="160" w:line="360"/>
        <w:jc w:val="both"/>
      </w:pPr>
      <w:r>
        <w:rPr>
          <w:rFonts w:ascii="Times New Roman" w:cs="Times New Roman" w:eastAsia="Times New Roman" w:hAnsi="Times New Roman"/>
          <w:sz w:val="22"/>
          <w:szCs w:val="22"/>
        </w:rPr>
        <w:t xml:space="preserve">Endpoint-state models treat the optimization run as a black box and explain outcomes from terminal measurements (e.g., final EMA-SNR, final sigma factor). Regime occupancy models treat the run as a trajectory through a state space and explain outcomes from the shape of that trajectory. The AIC evidence presented here (ΔAIC = 1,872) strongly prefers the trajectory framing.</w:t>
      </w:r>
    </w:p>
    <w:p>
      <w:pPr>
        <w:spacing w:after="160" w:line="360"/>
        <w:jc w:val="both"/>
      </w:pPr>
      <w:r>
        <w:rPr>
          <w:rFonts w:ascii="Times New Roman" w:cs="Times New Roman" w:eastAsia="Times New Roman" w:hAnsi="Times New Roman"/>
          <w:sz w:val="22"/>
          <w:szCs w:val="22"/>
        </w:rPr>
        <w:t xml:space="preserve">This distinction has practical implications. Endpoint-state models suggest that tuning should target better terminal states — for example, higher final SNR. Regime occupancy models suggest that tuning should target better trajectories — specifically, later floor contact, lower floor occupancy, and preserved capacity for expansion events. These are different optimization targets and may require different interventions.</w:t>
      </w:r>
    </w:p>
    <w:p>
      <w:pPr>
        <w:pStyle w:val="Heading2"/>
        <w:spacing w:before="280" w:after="120"/>
      </w:pPr>
      <w:r>
        <w:rPr>
          <w:rFonts w:ascii="Times New Roman" w:cs="Times New Roman" w:eastAsia="Times New Roman" w:hAnsi="Times New Roman"/>
          <w:b/>
          <w:bCs/>
          <w:sz w:val="24"/>
          <w:szCs w:val="24"/>
        </w:rPr>
        <w:t xml:space="preserve">5.3 The Two-Part Regime Condition</w:t>
      </w:r>
    </w:p>
    <w:p>
      <w:pPr>
        <w:spacing w:after="160" w:line="360"/>
        <w:jc w:val="both"/>
      </w:pPr>
      <w:r>
        <w:rPr>
          <w:rFonts w:ascii="Times New Roman" w:cs="Times New Roman" w:eastAsia="Times New Roman" w:hAnsi="Times New Roman"/>
          <w:sz w:val="22"/>
          <w:szCs w:val="22"/>
        </w:rPr>
        <w:t xml:space="preserve">The P1 failure for some high-AWF variants reveals that the mechanism is not captured by a single threshold on projected AWF. The practical control variable is realized floor-occupancy regime, which depends on the interaction of k_down, r_min, and threshold settings through their joint effect on firing dynamics. This motivates a two-part regime condition for configuration screening:</w:t>
      </w:r>
    </w:p>
    <w:p>
      <w:pPr>
        <w:pStyle w:val="ListParagraph"/>
        <w:numPr>
          <w:ilvl w:val="0"/>
          <w:numId w:val="2"/>
        </w:numPr>
      </w:pPr>
      <w:r>
        <w:rPr>
          <w:rFonts w:ascii="Times New Roman" w:cs="Times New Roman" w:eastAsia="Times New Roman" w:hAnsi="Times New Roman"/>
          <w:b/>
          <w:bCs/>
          <w:sz w:val="22"/>
          <w:szCs w:val="22"/>
        </w:rPr>
        <w:t xml:space="preserve">Geometric feasibility: </w:t>
      </w:r>
      <w:r>
        <w:rPr>
          <w:rFonts w:ascii="Times New Roman" w:cs="Times New Roman" w:eastAsia="Times New Roman" w:hAnsi="Times New Roman"/>
          <w:sz w:val="22"/>
          <w:szCs w:val="22"/>
        </w:rPr>
        <w:t xml:space="preserve">projected AWF = N_floor / G should exceed a minimum threshold (provisionally 0.33) to ensure floor contact is not reachable in the first third of the budget under sustained contraction.</w:t>
      </w:r>
    </w:p>
    <w:p>
      <w:pPr>
        <w:pStyle w:val="ListParagraph"/>
        <w:numPr>
          <w:ilvl w:val="0"/>
          <w:numId w:val="2"/>
        </w:numPr>
      </w:pPr>
      <w:r>
        <w:rPr>
          <w:rFonts w:ascii="Times New Roman" w:cs="Times New Roman" w:eastAsia="Times New Roman" w:hAnsi="Times New Roman"/>
          <w:b/>
          <w:bCs/>
          <w:sz w:val="22"/>
          <w:szCs w:val="22"/>
        </w:rPr>
        <w:t xml:space="preserve">Firing balance: </w:t>
      </w:r>
      <w:r>
        <w:rPr>
          <w:rFonts w:ascii="Times New Roman" w:cs="Times New Roman" w:eastAsia="Times New Roman" w:hAnsi="Times New Roman"/>
          <w:sz w:val="22"/>
          <w:szCs w:val="22"/>
        </w:rPr>
        <w:t xml:space="preserve">threshold settings should not produce persistent down-step firing that drives realized floor occupancy above acceptable bounds independent of geometric feasibility.</w:t>
      </w:r>
    </w:p>
    <w:p>
      <w:pPr>
        <w:spacing w:after="80"/>
      </w:pPr>
      <w:r>
        <w:t xml:space="preserve"/>
      </w:r>
    </w:p>
    <w:p>
      <w:pPr>
        <w:spacing w:after="160" w:line="360"/>
        <w:jc w:val="both"/>
      </w:pPr>
      <w:r>
        <w:rPr>
          <w:rFonts w:ascii="Times New Roman" w:cs="Times New Roman" w:eastAsia="Times New Roman" w:hAnsi="Times New Roman"/>
          <w:sz w:val="22"/>
          <w:szCs w:val="22"/>
        </w:rPr>
        <w:t xml:space="preserve">These conditions are necessary but not jointly sufficient. The geom_k097_r020 result demonstrates that cell-conditional floor dynamics can violate the regime condition even when global averages appear acceptable. A cell-level screening criterion is the subject of recommended future work.</w:t>
      </w:r>
    </w:p>
    <w:p>
      <w:pPr>
        <w:pStyle w:val="Heading1"/>
        <w:spacing w:before="360" w:after="160"/>
      </w:pPr>
      <w:r>
        <w:rPr>
          <w:rFonts w:ascii="Times New Roman" w:cs="Times New Roman" w:eastAsia="Times New Roman" w:hAnsi="Times New Roman"/>
          <w:b/>
          <w:bCs/>
          <w:sz w:val="28"/>
          <w:szCs w:val="28"/>
        </w:rPr>
        <w:t xml:space="preserve">6. The Rosenbrock Residual</w:t>
      </w:r>
    </w:p>
    <w:p>
      <w:pPr>
        <w:spacing w:after="160" w:line="360"/>
        <w:jc w:val="both"/>
      </w:pPr>
      <w:r>
        <w:rPr>
          <w:rFonts w:ascii="Times New Roman" w:cs="Times New Roman" w:eastAsia="Times New Roman" w:hAnsi="Times New Roman"/>
          <w:sz w:val="22"/>
          <w:szCs w:val="22"/>
        </w:rPr>
        <w:t xml:space="preserve">The analysis reveals a systematic residual for Rosenbrock d20 that neither geometry adjustments nor threshold adjustments resolve. The best-performing geometry variants (r_min = 0.05 cluster) and the best threshold variant (thctl_005_020) both show clear regressions on Rosenbrock d20 relative to baseline, with delta changes reaching +6.35 in the worst case.</w:t>
      </w:r>
    </w:p>
    <w:p>
      <w:pPr>
        <w:spacing w:after="160" w:line="360"/>
        <w:jc w:val="both"/>
      </w:pPr>
      <w:r>
        <w:rPr>
          <w:rFonts w:ascii="Times New Roman" w:cs="Times New Roman" w:eastAsia="Times New Roman" w:hAnsi="Times New Roman"/>
          <w:sz w:val="22"/>
          <w:szCs w:val="22"/>
        </w:rPr>
        <w:t xml:space="preserve">This residual is not noise. It is directional, consistent across noise levels, and survives in variants that show improvements on other target cells. It indicates that a second mechanism is active for Rosenbrock d20 that is not captured by floor occupancy features alone.</w:t>
      </w:r>
    </w:p>
    <w:p>
      <w:pPr>
        <w:spacing w:after="160" w:line="360"/>
        <w:jc w:val="both"/>
      </w:pPr>
      <w:r>
        <w:rPr>
          <w:rFonts w:ascii="Times New Roman" w:cs="Times New Roman" w:eastAsia="Times New Roman" w:hAnsi="Times New Roman"/>
          <w:sz w:val="22"/>
          <w:szCs w:val="22"/>
        </w:rPr>
        <w:t xml:space="preserve">Two candidate explanations are consistent with the data. First, Rosenbrock d20 may require longer anisotropic adaptation time than the 100-generation budget provides under any sigma floor configuration; floor-relaxed variants may allow sigma to expand, which disrupts valley-tracking behavior that the more constrained baseline inadvertently preserved. Second, the MAD-based noise estimator may be systematically misaligned for the elongated fitness distribution of Rosenbrock, causing SNR readings that are structurally biased for that landscape class regardless of floor configuration.</w:t>
      </w:r>
    </w:p>
    <w:p>
      <w:pPr>
        <w:spacing w:after="160" w:line="360"/>
        <w:jc w:val="both"/>
      </w:pPr>
      <w:r>
        <w:rPr>
          <w:rFonts w:ascii="Times New Roman" w:cs="Times New Roman" w:eastAsia="Times New Roman" w:hAnsi="Times New Roman"/>
          <w:sz w:val="22"/>
          <w:szCs w:val="22"/>
        </w:rPr>
        <w:t xml:space="preserve">We consider the Rosenbrock residual the primary open question at the boundary of the regime occupancy model. It represents a legitimate constraint on the model’s explanatory scope and should be explicitly stated as such in any publication. Papers that characterize the boundaries of their findings are stronger than papers that overfit their explanation to every observation.</w:t>
      </w:r>
    </w:p>
    <w:p>
      <w:pPr>
        <w:pStyle w:val="Heading1"/>
        <w:spacing w:before="360" w:after="160"/>
      </w:pPr>
      <w:r>
        <w:rPr>
          <w:rFonts w:ascii="Times New Roman" w:cs="Times New Roman" w:eastAsia="Times New Roman" w:hAnsi="Times New Roman"/>
          <w:b/>
          <w:bCs/>
          <w:sz w:val="28"/>
          <w:szCs w:val="28"/>
        </w:rPr>
        <w:t xml:space="preserve">7. Implications</w:t>
      </w:r>
    </w:p>
    <w:p>
      <w:pPr>
        <w:pStyle w:val="Heading2"/>
        <w:spacing w:before="280" w:after="120"/>
      </w:pPr>
      <w:r>
        <w:rPr>
          <w:rFonts w:ascii="Times New Roman" w:cs="Times New Roman" w:eastAsia="Times New Roman" w:hAnsi="Times New Roman"/>
          <w:b/>
          <w:bCs/>
          <w:sz w:val="24"/>
          <w:szCs w:val="24"/>
        </w:rPr>
        <w:t xml:space="preserve">7.1 For CMA-ES Practitioners</w:t>
      </w:r>
    </w:p>
    <w:p>
      <w:pPr>
        <w:spacing w:after="160" w:line="360"/>
        <w:jc w:val="both"/>
      </w:pPr>
      <w:r>
        <w:rPr>
          <w:rFonts w:ascii="Times New Roman" w:cs="Times New Roman" w:eastAsia="Times New Roman" w:hAnsi="Times New Roman"/>
          <w:sz w:val="22"/>
          <w:szCs w:val="22"/>
        </w:rPr>
        <w:t xml:space="preserve">The findings imply a concrete shift in how external sigma controllers should be configured and evaluated. The following practical recommendations are supported by the sweep evidence:</w:t>
      </w:r>
    </w:p>
    <w:p>
      <w:pPr>
        <w:pStyle w:val="ListParagraph"/>
        <w:numPr>
          <w:ilvl w:val="0"/>
          <w:numId w:val="2"/>
        </w:numPr>
      </w:pPr>
      <w:r>
        <w:rPr>
          <w:rFonts w:ascii="Times New Roman" w:cs="Times New Roman" w:eastAsia="Times New Roman" w:hAnsi="Times New Roman"/>
          <w:sz w:val="22"/>
          <w:szCs w:val="22"/>
        </w:rPr>
        <w:t xml:space="preserve">Treat floor occupancy metrics (time-to-first-floor, fraction-at-floor) as first-class run diagnostics, not secondary post-hoc summaries.</w:t>
      </w:r>
    </w:p>
    <w:p>
      <w:pPr>
        <w:pStyle w:val="ListParagraph"/>
        <w:numPr>
          <w:ilvl w:val="0"/>
          <w:numId w:val="2"/>
        </w:numPr>
      </w:pPr>
      <w:r>
        <w:rPr>
          <w:rFonts w:ascii="Times New Roman" w:cs="Times New Roman" w:eastAsia="Times New Roman" w:hAnsi="Times New Roman"/>
          <w:sz w:val="22"/>
          <w:szCs w:val="22"/>
        </w:rPr>
        <w:t xml:space="preserve">Compute projected AWF = ⌈log(r_min) / log(k_down)⌉ / G before running large sweeps. Reject or modify configurations with projected AWF &lt; 0.33 as a pre-run gate.</w:t>
      </w:r>
    </w:p>
    <w:p>
      <w:pPr>
        <w:pStyle w:val="ListParagraph"/>
        <w:numPr>
          <w:ilvl w:val="0"/>
          <w:numId w:val="2"/>
        </w:numPr>
      </w:pPr>
      <w:r>
        <w:rPr>
          <w:rFonts w:ascii="Times New Roman" w:cs="Times New Roman" w:eastAsia="Times New Roman" w:hAnsi="Times New Roman"/>
          <w:sz w:val="22"/>
          <w:szCs w:val="22"/>
        </w:rPr>
        <w:t xml:space="preserve">Prefer r_min = 0.05 over r_min = 0.10 or r_min = 0.20 in this benchmark regime. The performance degradation from r_min = 0.20 is consistent and large.</w:t>
      </w:r>
    </w:p>
    <w:p>
      <w:pPr>
        <w:pStyle w:val="ListParagraph"/>
        <w:numPr>
          <w:ilvl w:val="0"/>
          <w:numId w:val="2"/>
        </w:numPr>
      </w:pPr>
      <w:r>
        <w:rPr>
          <w:rFonts w:ascii="Times New Roman" w:cs="Times New Roman" w:eastAsia="Times New Roman" w:hAnsi="Times New Roman"/>
          <w:sz w:val="22"/>
          <w:szCs w:val="22"/>
        </w:rPr>
        <w:t xml:space="preserve">Treat threshold and geometry controls as complementary, not substitutable. Threshold adjustments provide marginal recovery on Sphere under noise but do not rescue Rosenbrock losses.</w:t>
      </w:r>
    </w:p>
    <w:p>
      <w:pPr>
        <w:spacing w:after="80"/>
      </w:pPr>
      <w:r>
        <w:t xml:space="preserve"/>
      </w:r>
    </w:p>
    <w:p>
      <w:pPr>
        <w:pStyle w:val="Heading2"/>
        <w:spacing w:before="280" w:after="120"/>
      </w:pPr>
      <w:r>
        <w:rPr>
          <w:rFonts w:ascii="Times New Roman" w:cs="Times New Roman" w:eastAsia="Times New Roman" w:hAnsi="Times New Roman"/>
          <w:b/>
          <w:bCs/>
          <w:sz w:val="24"/>
          <w:szCs w:val="24"/>
        </w:rPr>
        <w:t xml:space="preserve">7.2 For the Broader CMA-ES Research Community</w:t>
      </w:r>
    </w:p>
    <w:p>
      <w:pPr>
        <w:spacing w:after="160" w:line="360"/>
        <w:jc w:val="both"/>
      </w:pPr>
      <w:r>
        <w:rPr>
          <w:rFonts w:ascii="Times New Roman" w:cs="Times New Roman" w:eastAsia="Times New Roman" w:hAnsi="Times New Roman"/>
          <w:sz w:val="22"/>
          <w:szCs w:val="22"/>
        </w:rPr>
        <w:t xml:space="preserve">The regime occupancy model framing generalizes beyond the specific proxy studied here. Any adaptive controller with discrete behavioral regimes operating over a finite budget has a regime occupancy profile. The finding that endpoint state is insufficient to explain outcomes has implications for how any such controller should be analyzed and benchmarked. This includes, potentially, internal adaptation methods with comparable regime structure (e.g., step-size contraction phases in CSA-based controllers under persistent noise).</w:t>
      </w:r>
    </w:p>
    <w:p>
      <w:pPr>
        <w:spacing w:after="160" w:line="360"/>
        <w:jc w:val="both"/>
      </w:pPr>
      <w:r>
        <w:rPr>
          <w:rFonts w:ascii="Times New Roman" w:cs="Times New Roman" w:eastAsia="Times New Roman" w:hAnsi="Times New Roman"/>
          <w:sz w:val="22"/>
          <w:szCs w:val="22"/>
        </w:rPr>
        <w:t xml:space="preserve">The concept of AWF as a budget-relative floor geometry metric fills a gap in current CMA-ES adaptation literature. Existing work characterizes convergence rates, update correctness, and population-size effects, but does not formalize the temporal allocation of adaptive freedom across a fixed budget. AWF provides a computable, design-time metric for this property.</w:t>
      </w:r>
    </w:p>
    <w:p>
      <w:pPr>
        <w:pStyle w:val="Heading1"/>
        <w:spacing w:before="360" w:after="160"/>
      </w:pPr>
      <w:r>
        <w:rPr>
          <w:rFonts w:ascii="Times New Roman" w:cs="Times New Roman" w:eastAsia="Times New Roman" w:hAnsi="Times New Roman"/>
          <w:b/>
          <w:bCs/>
          <w:sz w:val="28"/>
          <w:szCs w:val="28"/>
        </w:rPr>
        <w:t xml:space="preserve">8. Limitations</w:t>
      </w:r>
    </w:p>
    <w:p>
      <w:pPr>
        <w:pStyle w:val="ListParagraph"/>
        <w:numPr>
          <w:ilvl w:val="0"/>
          <w:numId w:val="2"/>
        </w:numPr>
      </w:pPr>
      <w:r>
        <w:rPr>
          <w:rFonts w:ascii="Times New Roman" w:cs="Times New Roman" w:eastAsia="Times New Roman" w:hAnsi="Times New Roman"/>
          <w:b/>
          <w:bCs/>
          <w:sz w:val="22"/>
          <w:szCs w:val="22"/>
        </w:rPr>
        <w:t xml:space="preserve">Budget scope: </w:t>
      </w:r>
      <w:r>
        <w:rPr>
          <w:rFonts w:ascii="Times New Roman" w:cs="Times New Roman" w:eastAsia="Times New Roman" w:hAnsi="Times New Roman"/>
          <w:sz w:val="22"/>
          <w:szCs w:val="22"/>
        </w:rPr>
        <w:t xml:space="preserve">All results are from 1,000-evaluation runs with population size 10 (100 generations). Behavior may differ qualitatively at longer budgets where floor collision timing is less budget-critical.</w:t>
      </w:r>
    </w:p>
    <w:p>
      <w:pPr>
        <w:pStyle w:val="ListParagraph"/>
        <w:numPr>
          <w:ilvl w:val="0"/>
          <w:numId w:val="2"/>
        </w:numPr>
      </w:pPr>
      <w:r>
        <w:rPr>
          <w:rFonts w:ascii="Times New Roman" w:cs="Times New Roman" w:eastAsia="Times New Roman" w:hAnsi="Times New Roman"/>
          <w:b/>
          <w:bCs/>
          <w:sz w:val="22"/>
          <w:szCs w:val="22"/>
        </w:rPr>
        <w:t xml:space="preserve">Proxy status: </w:t>
      </w:r>
      <w:r>
        <w:rPr>
          <w:rFonts w:ascii="Times New Roman" w:cs="Times New Roman" w:eastAsia="Times New Roman" w:hAnsi="Times New Roman"/>
          <w:sz w:val="22"/>
          <w:szCs w:val="22"/>
        </w:rPr>
        <w:t xml:space="preserve">lr_adapt_proxy is a repository-local implementation, not an exact reproduction of any published LR-Adapt method. Claims are scoped to this implementation and benchmark matrix.</w:t>
      </w:r>
    </w:p>
    <w:p>
      <w:pPr>
        <w:pStyle w:val="ListParagraph"/>
        <w:numPr>
          <w:ilvl w:val="0"/>
          <w:numId w:val="2"/>
        </w:numPr>
      </w:pPr>
      <w:r>
        <w:rPr>
          <w:rFonts w:ascii="Times New Roman" w:cs="Times New Roman" w:eastAsia="Times New Roman" w:hAnsi="Times New Roman"/>
          <w:b/>
          <w:bCs/>
          <w:sz w:val="22"/>
          <w:szCs w:val="22"/>
        </w:rPr>
        <w:t xml:space="preserve">Aggregate scale dependence: </w:t>
      </w:r>
      <w:r>
        <w:rPr>
          <w:rFonts w:ascii="Times New Roman" w:cs="Times New Roman" w:eastAsia="Times New Roman" w:hAnsi="Times New Roman"/>
          <w:sz w:val="22"/>
          <w:szCs w:val="22"/>
        </w:rPr>
        <w:t xml:space="preserve">The median_of_cell_median_delta metric is objective-scale dependent, particularly for Ellipsoid where large-magnitude cells dominate aggregate summaries.</w:t>
      </w:r>
    </w:p>
    <w:p>
      <w:pPr>
        <w:pStyle w:val="ListParagraph"/>
        <w:numPr>
          <w:ilvl w:val="0"/>
          <w:numId w:val="2"/>
        </w:numPr>
      </w:pPr>
      <w:r>
        <w:rPr>
          <w:rFonts w:ascii="Times New Roman" w:cs="Times New Roman" w:eastAsia="Times New Roman" w:hAnsi="Times New Roman"/>
          <w:b/>
          <w:bCs/>
          <w:sz w:val="22"/>
          <w:szCs w:val="22"/>
        </w:rPr>
        <w:t xml:space="preserve">P3 model interpretation: </w:t>
      </w:r>
      <w:r>
        <w:rPr>
          <w:rFonts w:ascii="Times New Roman" w:cs="Times New Roman" w:eastAsia="Times New Roman" w:hAnsi="Times New Roman"/>
          <w:sz w:val="22"/>
          <w:szCs w:val="22"/>
        </w:rPr>
        <w:t xml:space="preserve">The AIC/BIC evidence supports predictive advantage of floor-time features; it does not establish causal direction for individual coefficient signs.</w:t>
      </w:r>
    </w:p>
    <w:p>
      <w:pPr>
        <w:pStyle w:val="ListParagraph"/>
        <w:numPr>
          <w:ilvl w:val="0"/>
          <w:numId w:val="2"/>
        </w:numPr>
      </w:pPr>
      <w:r>
        <w:rPr>
          <w:rFonts w:ascii="Times New Roman" w:cs="Times New Roman" w:eastAsia="Times New Roman" w:hAnsi="Times New Roman"/>
          <w:b/>
          <w:bCs/>
          <w:sz w:val="22"/>
          <w:szCs w:val="22"/>
        </w:rPr>
        <w:t xml:space="preserve">Significance inflation: </w:t>
      </w:r>
      <w:r>
        <w:rPr>
          <w:rFonts w:ascii="Times New Roman" w:cs="Times New Roman" w:eastAsia="Times New Roman" w:hAnsi="Times New Roman"/>
          <w:sz w:val="22"/>
          <w:szCs w:val="22"/>
        </w:rPr>
        <w:t xml:space="preserve">With 100 seeds per cell, many differences achieve statistical significance in either direction. Sign and effect direction must be interpreted alongside q-values.</w:t>
      </w:r>
    </w:p>
    <w:p>
      <w:pPr>
        <w:pStyle w:val="ListParagraph"/>
        <w:numPr>
          <w:ilvl w:val="0"/>
          <w:numId w:val="2"/>
        </w:numPr>
      </w:pPr>
      <w:r>
        <w:rPr>
          <w:rFonts w:ascii="Times New Roman" w:cs="Times New Roman" w:eastAsia="Times New Roman" w:hAnsi="Times New Roman"/>
          <w:b/>
          <w:bCs/>
          <w:sz w:val="22"/>
          <w:szCs w:val="22"/>
        </w:rPr>
        <w:t xml:space="preserve">Rosenbrock residual: </w:t>
      </w:r>
      <w:r>
        <w:rPr>
          <w:rFonts w:ascii="Times New Roman" w:cs="Times New Roman" w:eastAsia="Times New Roman" w:hAnsi="Times New Roman"/>
          <w:sz w:val="22"/>
          <w:szCs w:val="22"/>
        </w:rPr>
        <w:t xml:space="preserve">The mechanism does not fully explain Rosenbrock d20 behavior. A second active mechanism is indicated but not identified.</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9. Recommended Future Work</w:t>
      </w:r>
    </w:p>
    <w:p>
      <w:pPr>
        <w:spacing w:after="160" w:line="360"/>
        <w:jc w:val="both"/>
      </w:pPr>
      <w:r>
        <w:rPr>
          <w:rFonts w:ascii="Times New Roman" w:cs="Times New Roman" w:eastAsia="Times New Roman" w:hAnsi="Times New Roman"/>
          <w:sz w:val="22"/>
          <w:szCs w:val="22"/>
        </w:rPr>
        <w:t xml:space="preserve">The following experiments are directly motivated by the present findings and are supported by the existing pipeline infrastructure:</w:t>
      </w:r>
    </w:p>
    <w:p>
      <w:pPr>
        <w:pStyle w:val="ListParagraph"/>
        <w:numPr>
          <w:ilvl w:val="0"/>
          <w:numId w:val="2"/>
        </w:numPr>
      </w:pPr>
      <w:r>
        <w:rPr>
          <w:rFonts w:ascii="Times New Roman" w:cs="Times New Roman" w:eastAsia="Times New Roman" w:hAnsi="Times New Roman"/>
          <w:b/>
          <w:bCs/>
          <w:sz w:val="22"/>
          <w:szCs w:val="22"/>
        </w:rPr>
        <w:t xml:space="preserve">Focused geometry sweep: </w:t>
      </w:r>
      <w:r>
        <w:rPr>
          <w:rFonts w:ascii="Times New Roman" w:cs="Times New Roman" w:eastAsia="Times New Roman" w:hAnsi="Times New Roman"/>
          <w:sz w:val="22"/>
          <w:szCs w:val="22"/>
        </w:rPr>
        <w:t xml:space="preserve">r_min ∈ {0.04, 0.05, 0.06, 0.08} × k_down ∈ {0.90, 0.92, 0.94, 0.95} to characterize the optimal regime band more precisely.</w:t>
      </w:r>
    </w:p>
    <w:p>
      <w:pPr>
        <w:pStyle w:val="ListParagraph"/>
        <w:numPr>
          <w:ilvl w:val="0"/>
          <w:numId w:val="2"/>
        </w:numPr>
      </w:pPr>
      <w:r>
        <w:rPr>
          <w:rFonts w:ascii="Times New Roman" w:cs="Times New Roman" w:eastAsia="Times New Roman" w:hAnsi="Times New Roman"/>
          <w:b/>
          <w:bCs/>
          <w:sz w:val="22"/>
          <w:szCs w:val="22"/>
        </w:rPr>
        <w:t xml:space="preserve">Cell-level occupancy model: </w:t>
      </w:r>
      <w:r>
        <w:rPr>
          <w:rFonts w:ascii="Times New Roman" w:cs="Times New Roman" w:eastAsia="Times New Roman" w:hAnsi="Times New Roman"/>
          <w:sz w:val="22"/>
          <w:szCs w:val="22"/>
        </w:rPr>
        <w:t xml:space="preserve">Add cell-level floor features to the predictive model to test whether cell-conditional occupancy explains the geom_k097_r020 dissociation and the Rosenbrock residual.</w:t>
      </w:r>
    </w:p>
    <w:p>
      <w:pPr>
        <w:pStyle w:val="ListParagraph"/>
        <w:numPr>
          <w:ilvl w:val="0"/>
          <w:numId w:val="2"/>
        </w:numPr>
      </w:pPr>
      <w:r>
        <w:rPr>
          <w:rFonts w:ascii="Times New Roman" w:cs="Times New Roman" w:eastAsia="Times New Roman" w:hAnsi="Times New Roman"/>
          <w:b/>
          <w:bCs/>
          <w:sz w:val="22"/>
          <w:szCs w:val="22"/>
        </w:rPr>
        <w:t xml:space="preserve">Paired fixed-effects model: </w:t>
      </w:r>
      <w:r>
        <w:rPr>
          <w:rFonts w:ascii="Times New Roman" w:cs="Times New Roman" w:eastAsia="Times New Roman" w:hAnsi="Times New Roman"/>
          <w:sz w:val="22"/>
          <w:szCs w:val="22"/>
        </w:rPr>
        <w:t xml:space="preserve">Separate within-variant telemetry effects from between-variant configuration shifts using variant fixed effects.</w:t>
      </w:r>
    </w:p>
    <w:p>
      <w:pPr>
        <w:pStyle w:val="ListParagraph"/>
        <w:numPr>
          <w:ilvl w:val="0"/>
          <w:numId w:val="2"/>
        </w:numPr>
      </w:pPr>
      <w:r>
        <w:rPr>
          <w:rFonts w:ascii="Times New Roman" w:cs="Times New Roman" w:eastAsia="Times New Roman" w:hAnsi="Times New Roman"/>
          <w:b/>
          <w:bCs/>
          <w:sz w:val="22"/>
          <w:szCs w:val="22"/>
        </w:rPr>
        <w:t xml:space="preserve">Rosenbrock mechanism study: </w:t>
      </w:r>
      <w:r>
        <w:rPr>
          <w:rFonts w:ascii="Times New Roman" w:cs="Times New Roman" w:eastAsia="Times New Roman" w:hAnsi="Times New Roman"/>
          <w:sz w:val="22"/>
          <w:szCs w:val="22"/>
        </w:rPr>
        <w:t xml:space="preserve">Targeted investigation of whether MAD estimator misalignment or anisotropic adaptation disruption is the active mechanism for Rosenbrock d20.</w:t>
      </w:r>
    </w:p>
    <w:p>
      <w:pPr>
        <w:pStyle w:val="ListParagraph"/>
        <w:numPr>
          <w:ilvl w:val="0"/>
          <w:numId w:val="2"/>
        </w:numPr>
      </w:pPr>
      <w:r>
        <w:rPr>
          <w:rFonts w:ascii="Times New Roman" w:cs="Times New Roman" w:eastAsia="Times New Roman" w:hAnsi="Times New Roman"/>
          <w:b/>
          <w:bCs/>
          <w:sz w:val="22"/>
          <w:szCs w:val="22"/>
        </w:rPr>
        <w:t xml:space="preserve">Scaling validation: </w:t>
      </w:r>
      <w:r>
        <w:rPr>
          <w:rFonts w:ascii="Times New Roman" w:cs="Times New Roman" w:eastAsia="Times New Roman" w:hAnsi="Times New Roman"/>
          <w:sz w:val="22"/>
          <w:szCs w:val="22"/>
        </w:rPr>
        <w:t xml:space="preserve">Replicate core findings at longer budgets (10,000 evaluations) to assess whether AWF effects are budget-invariant or specific to the short-budget regime.</w:t>
      </w:r>
    </w:p>
    <w:p>
      <w:pPr>
        <w:pStyle w:val="ListParagraph"/>
        <w:numPr>
          <w:ilvl w:val="0"/>
          <w:numId w:val="2"/>
        </w:numPr>
      </w:pPr>
      <w:r>
        <w:rPr>
          <w:rFonts w:ascii="Times New Roman" w:cs="Times New Roman" w:eastAsia="Times New Roman" w:hAnsi="Times New Roman"/>
          <w:b/>
          <w:bCs/>
          <w:sz w:val="22"/>
          <w:szCs w:val="22"/>
        </w:rPr>
        <w:t xml:space="preserve">Config-driven trace targets: </w:t>
      </w:r>
      <w:r>
        <w:rPr>
          <w:rFonts w:ascii="Times New Roman" w:cs="Times New Roman" w:eastAsia="Times New Roman" w:hAnsi="Times New Roman"/>
          <w:sz w:val="22"/>
          <w:szCs w:val="22"/>
        </w:rPr>
        <w:t xml:space="preserve">Move HYBRID_TRACE_TARGETS from hardcoded to YAML-configurable to support flexible telemetry across future sweep designs without code modification.</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10. Conclusion</w:t>
      </w:r>
    </w:p>
    <w:p>
      <w:pPr>
        <w:spacing w:after="160" w:line="360"/>
        <w:jc w:val="both"/>
      </w:pPr>
      <w:r>
        <w:rPr>
          <w:rFonts w:ascii="Times New Roman" w:cs="Times New Roman" w:eastAsia="Times New Roman" w:hAnsi="Times New Roman"/>
          <w:sz w:val="22"/>
          <w:szCs w:val="22"/>
        </w:rPr>
        <w:t xml:space="preserve">This study provides strong empirical support for a regime occupancy model of external sigma controller behavior in CMA-ES. Floor-time features — specifically fraction-at-floor and time-to-first-floor — explain outcome variance that endpoint SNR statistics cannot recover (ΔAIC = 1,872; p = 2.92×10⁻⁹²). The floor minimum ratio (r_min) is identified as the dominant geometric control variable, with a monotone performance relationship across values. The pre-registered AWF single-threshold criterion was not globally supported, revealing that projected AWF is a useful design-time prior but requires cell-level qualification.</w:t>
      </w:r>
    </w:p>
    <w:p>
      <w:pPr>
        <w:spacing w:after="160" w:line="36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Regime Occupancy Model</w:t>
      </w:r>
      <w:r>
        <w:rPr>
          <w:rFonts w:ascii="Times New Roman" w:cs="Times New Roman" w:eastAsia="Times New Roman" w:hAnsi="Times New Roman"/>
          <w:sz w:val="22"/>
          <w:szCs w:val="22"/>
        </w:rPr>
        <w:t xml:space="preserve"> is proposed as a distinct predictive model class: one that explains outcomes by the temporal distribution of behavioral states over the run horizon rather than by terminal state alone. This framing implies that tuning external adaptive controllers should target trajectory properties — floor entry timing, floor occupancy, expansion event preservation — rather than endpoint state optimization. The projected AWF threshold constitutes a practical pre-run configuration gate for short-budget noisy black-box optimization settings.</w:t>
      </w:r>
    </w:p>
    <w:p>
      <w:pPr>
        <w:spacing w:after="160" w:line="360"/>
        <w:jc w:val="both"/>
      </w:pPr>
      <w:r>
        <w:rPr>
          <w:rFonts w:ascii="Times New Roman" w:cs="Times New Roman" w:eastAsia="Times New Roman" w:hAnsi="Times New Roman"/>
          <w:sz w:val="22"/>
          <w:szCs w:val="22"/>
        </w:rPr>
        <w:t xml:space="preserve">The Rosenbrock d20 residual marks the current explanatory boundary of the model and motivates targeted follow-up investigation. All findings are scoped to the benchmark matrix and budget regime studied here; scaling validation is identified as a priority for establishing generality.</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References</w:t>
      </w:r>
    </w:p>
    <w:p>
      <w:pPr>
        <w:spacing w:after="160" w:line="360"/>
        <w:jc w:val="both"/>
      </w:pPr>
      <w:r>
        <w:rPr>
          <w:rFonts w:ascii="Times New Roman" w:cs="Times New Roman" w:eastAsia="Times New Roman" w:hAnsi="Times New Roman"/>
          <w:sz w:val="22"/>
          <w:szCs w:val="22"/>
        </w:rPr>
        <w:t xml:space="preserve">[1] Nomura, M., Akimoto, Y., &amp; Ono, I. (2023). CMA-ES with learning rate adaptation: The third generation. </w:t>
      </w:r>
      <w:r>
        <w:rPr>
          <w:rFonts w:ascii="Times New Roman" w:cs="Times New Roman" w:eastAsia="Times New Roman" w:hAnsi="Times New Roman"/>
          <w:i/>
          <w:iCs/>
          <w:sz w:val="22"/>
          <w:szCs w:val="22"/>
        </w:rPr>
        <w:t xml:space="preserve">arXiv:2304.03473</w:t>
      </w:r>
      <w:r>
        <w:rPr>
          <w:rFonts w:ascii="Times New Roman" w:cs="Times New Roman" w:eastAsia="Times New Roman" w:hAnsi="Times New Roman"/>
          <w:sz w:val="22"/>
          <w:szCs w:val="22"/>
        </w:rPr>
        <w:t xml:space="preserve">. GECCO 2023 (Best Paper Nomination).</w:t>
      </w:r>
    </w:p>
    <w:p>
      <w:pPr>
        <w:spacing w:after="160" w:line="360"/>
        <w:jc w:val="both"/>
      </w:pPr>
      <w:r>
        <w:rPr>
          <w:rFonts w:ascii="Times New Roman" w:cs="Times New Roman" w:eastAsia="Times New Roman" w:hAnsi="Times New Roman"/>
          <w:sz w:val="22"/>
          <w:szCs w:val="22"/>
        </w:rPr>
        <w:t xml:space="preserve">[2] Nomura, M., Akimoto, Y., &amp; Ono, I. (2024). Fast CMA-ES with diagonal decoupling for optimally scaled problems. </w:t>
      </w:r>
      <w:r>
        <w:rPr>
          <w:rFonts w:ascii="Times New Roman" w:cs="Times New Roman" w:eastAsia="Times New Roman" w:hAnsi="Times New Roman"/>
          <w:i/>
          <w:iCs/>
          <w:sz w:val="22"/>
          <w:szCs w:val="22"/>
        </w:rPr>
        <w:t xml:space="preserve">arXiv:2401.15876 / ACM TELO 2025</w:t>
      </w:r>
      <w:r>
        <w:rPr>
          <w:rFonts w:ascii="Times New Roman" w:cs="Times New Roman" w:eastAsia="Times New Roman" w:hAnsi="Times New Roman"/>
          <w:sz w:val="22"/>
          <w:szCs w:val="22"/>
        </w:rPr>
        <w:t xml:space="preserve">.</w:t>
      </w:r>
    </w:p>
    <w:p>
      <w:pPr>
        <w:spacing w:after="160" w:line="360"/>
        <w:jc w:val="both"/>
      </w:pPr>
      <w:r>
        <w:rPr>
          <w:rFonts w:ascii="Times New Roman" w:cs="Times New Roman" w:eastAsia="Times New Roman" w:hAnsi="Times New Roman"/>
          <w:sz w:val="22"/>
          <w:szCs w:val="22"/>
        </w:rPr>
        <w:t xml:space="preserve">[3] Hansen, N., &amp; Ostermeier, A. (2001). Completely derandomized self-adaptation in evolution strategies. </w:t>
      </w:r>
      <w:r>
        <w:rPr>
          <w:rFonts w:ascii="Times New Roman" w:cs="Times New Roman" w:eastAsia="Times New Roman" w:hAnsi="Times New Roman"/>
          <w:i/>
          <w:iCs/>
          <w:sz w:val="22"/>
          <w:szCs w:val="22"/>
        </w:rPr>
        <w:t xml:space="preserve">Evolutionary Computation, 9</w:t>
      </w:r>
      <w:r>
        <w:rPr>
          <w:rFonts w:ascii="Times New Roman" w:cs="Times New Roman" w:eastAsia="Times New Roman" w:hAnsi="Times New Roman"/>
          <w:sz w:val="22"/>
          <w:szCs w:val="22"/>
        </w:rPr>
        <w:t xml:space="preserve">(2), 159–195.</w:t>
      </w:r>
    </w:p>
    <w:p>
      <w:pPr>
        <w:spacing w:after="160" w:line="360"/>
        <w:jc w:val="both"/>
      </w:pPr>
      <w:r>
        <w:rPr>
          <w:rFonts w:ascii="Times New Roman" w:cs="Times New Roman" w:eastAsia="Times New Roman" w:hAnsi="Times New Roman"/>
          <w:sz w:val="22"/>
          <w:szCs w:val="22"/>
        </w:rPr>
        <w:t xml:space="preserve">[4] Zhang, T., Goldstein, A., &amp; Levin, M. (2024). Classical sorting algorithms as a model of morphogenesis: self-sorting arrays reveal unexpected competencies in a minimal model of basal intelligence. </w:t>
      </w:r>
      <w:r>
        <w:rPr>
          <w:rFonts w:ascii="Times New Roman" w:cs="Times New Roman" w:eastAsia="Times New Roman" w:hAnsi="Times New Roman"/>
          <w:i/>
          <w:iCs/>
          <w:sz w:val="22"/>
          <w:szCs w:val="22"/>
        </w:rPr>
        <w:t xml:space="preserve">arXiv:2401.05375</w:t>
      </w:r>
      <w:r>
        <w:rPr>
          <w:rFonts w:ascii="Times New Roman" w:cs="Times New Roman" w:eastAsia="Times New Roman" w:hAnsi="Times New Roman"/>
          <w:sz w:val="22"/>
          <w:szCs w:val="22"/>
        </w:rPr>
        <w:t xml:space="preserve">.</w:t>
      </w:r>
    </w:p>
    <w:p>
      <w:pPr>
        <w:spacing w:after="160" w:line="360"/>
        <w:jc w:val="both"/>
      </w:pPr>
      <w:r>
        <w:rPr>
          <w:rFonts w:ascii="Times New Roman" w:cs="Times New Roman" w:eastAsia="Times New Roman" w:hAnsi="Times New Roman"/>
          <w:sz w:val="22"/>
          <w:szCs w:val="22"/>
        </w:rPr>
        <w:t xml:space="preserve">[5] Lopez III, D.A. (2026). lr_adapt_proxy technical specification (canonical). </w:t>
      </w:r>
      <w:r>
        <w:rPr>
          <w:rFonts w:ascii="Times New Roman" w:cs="Times New Roman" w:eastAsia="Times New Roman" w:hAnsi="Times New Roman"/>
          <w:i/>
          <w:iCs/>
          <w:sz w:val="22"/>
          <w:szCs w:val="22"/>
        </w:rPr>
        <w:t xml:space="preserve">github.com/zfifteen/lr-adapt-proxy</w:t>
      </w:r>
      <w:r>
        <w:rPr>
          <w:rFonts w:ascii="Times New Roman" w:cs="Times New Roman" w:eastAsia="Times New Roman" w:hAnsi="Times New Roman"/>
          <w:sz w:val="22"/>
          <w:szCs w:val="22"/>
        </w:rPr>
        <w:t xml:space="preserve">, docs/analysis/lr_adapt_proxy_technical_spec.md.</w:t>
      </w:r>
    </w:p>
    <w:p>
      <w:pPr>
        <w:spacing w:after="80"/>
      </w:pPr>
      <w:r>
        <w:t xml:space="preserve"/>
      </w:r>
    </w:p>
    <w:p>
      <w:pPr>
        <w:pStyle w:val="Heading1"/>
        <w:spacing w:before="360" w:after="160"/>
      </w:pPr>
      <w:r>
        <w:rPr>
          <w:rFonts w:ascii="Times New Roman" w:cs="Times New Roman" w:eastAsia="Times New Roman" w:hAnsi="Times New Roman"/>
          <w:b/>
          <w:bCs/>
          <w:sz w:val="28"/>
          <w:szCs w:val="28"/>
        </w:rPr>
        <w:t xml:space="preserve">Appendix: Artifact Manifest</w:t>
      </w:r>
    </w:p>
    <w:p>
      <w:pPr>
        <w:spacing w:after="160" w:line="360"/>
        <w:jc w:val="both"/>
      </w:pPr>
      <w:r>
        <w:rPr>
          <w:rFonts w:ascii="Times New Roman" w:cs="Times New Roman" w:eastAsia="Times New Roman" w:hAnsi="Times New Roman"/>
          <w:sz w:val="22"/>
          <w:szCs w:val="22"/>
        </w:rPr>
        <w:t xml:space="preserve">All quantitative claims in this document are traceable to the following repository artifacts at commit </w:t>
      </w:r>
      <w:r>
        <w:rPr>
          <w:rFonts w:ascii="Courier New" w:cs="Courier New" w:eastAsia="Courier New" w:hAnsi="Courier New"/>
          <w:sz w:val="20"/>
          <w:szCs w:val="20"/>
        </w:rPr>
        <w:t xml:space="preserve">7d63127</w:t>
      </w:r>
      <w:r>
        <w:rPr>
          <w:rFonts w:ascii="Times New Roman" w:cs="Times New Roman" w:eastAsia="Times New Roman" w:hAnsi="Times New Roman"/>
          <w:sz w:val="22"/>
          <w:szCs w:val="22"/>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Artifact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Path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Sensitivity manifest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artifacts/runs/awf-mechanism/20260305T111933Z-awf-mechanism/results/sensitivity_manifest.json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Run-level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artifacts/runs/awf-mechanism/20260305T111933Z-awf-mechanism/results/sensitivity_runs_long.csv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Cell statistics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artifacts/runs/awf-mechanism/20260305T111933Z-awf-mechanism/results/sensitivity_cell_stats.csv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Variant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artifacts/runs/awf-mechanism/20260305T111933Z-awf-mechanism/results/sensitivity_summary.csv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Floor telemetry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artifacts/runs/awf-mechanism/20260305T111933Z-awf-mechanism/results/awf_floor_summary.csv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Hypothesis checks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artifacts/runs/awf-mechanism/20260305T111933Z-awf-mechanism/results/awf_hypothesis_checks.json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Target cell deltas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artifacts/runs/awf-mechanism/20260305T111933Z-awf-mechanism/results/awf_target_cell_deltas.csv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Variant 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0"/>
                <w:szCs w:val="20"/>
              </w:rPr>
              <w:t xml:space="preserve">artifacts/runs/awf-mechanism/20260305T111933Z-awf-mechanism/results/awf_variant_metadata.csv</w:t>
            </w:r>
          </w:p>
        </w:tc>
      </w:tr>
    </w:tbl>
    <w:p>
      <w:pPr>
        <w:spacing w:before="80" w:after="200"/>
        <w:jc w:val="center"/>
      </w:pPr>
      <w:r>
        <w:rPr>
          <w:rFonts w:ascii="Times New Roman" w:cs="Times New Roman" w:eastAsia="Times New Roman" w:hAnsi="Times New Roman"/>
          <w:i/>
          <w:iCs/>
          <w:color w:val="444444"/>
          <w:sz w:val="20"/>
          <w:szCs w:val="20"/>
        </w:rPr>
        <w:t xml:space="preserve">Appendix Table A1. Artifact paths for result verification. Repository: github.com/zfifteen/lr-adapt-proxy.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20"/>
      <w:jc w:val="center"/>
    </w:pPr>
    <w:r>
      <w:rPr>
        <w:rFonts w:ascii="Times New Roman" w:cs="Times New Roman" w:eastAsia="Times New Roman" w:hAnsi="Times New Roman"/>
        <w:color w:val="666666"/>
        <w:sz w:val="18"/>
        <w:szCs w:val="18"/>
      </w:rPr>
      <w:t xml:space="preserve">Lopez III, D.A. — AWF Mechanism Interpretation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spacing w:after="120"/>
      <w:jc w:val="right"/>
    </w:pPr>
    <w:r>
      <w:rPr>
        <w:rFonts w:ascii="Times New Roman" w:cs="Times New Roman" w:eastAsia="Times New Roman" w:hAnsi="Times New Roman"/>
        <w:i/>
        <w:iCs/>
        <w:color w:val="666666"/>
        <w:sz w:val="18"/>
        <w:szCs w:val="18"/>
      </w:rPr>
      <w:t xml:space="preserve">Regime Occupancy as a Predictive Model Class in External Sigma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2026-03-05T12:42:25.657Z</dcterms:created>
  <dcterms:modified xsi:type="dcterms:W3CDTF">2026-03-05T12:42:25.658Z</dcterms:modified>
</cp:coreProperties>
</file>

<file path=docProps/custom.xml><?xml version="1.0" encoding="utf-8"?>
<Properties xmlns="http://schemas.openxmlformats.org/officeDocument/2006/custom-properties" xmlns:vt="http://schemas.openxmlformats.org/officeDocument/2006/docPropsVTypes"/>
</file>