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Replication–Communication Competition in the Gray–Scott System</w:t>
      </w:r>
    </w:p>
    <w:p>
      <w:pPr>
        <w:pStyle w:val="Subtitle"/>
        <w:jc w:val="center"/>
      </w:pPr>
      <w:r>
        <w:t>A formal technical note on the proposed Replication Péclet criterion for chaotic spot dynamics</w:t>
      </w:r>
    </w:p>
    <w:p>
      <w:pPr>
        <w:jc w:val="center"/>
      </w:pPr>
      <w:r>
        <w:rPr>
          <w:rFonts w:ascii="Cambria" w:hAnsi="Cambria"/>
          <w:color w:val="595959"/>
          <w:sz w:val="22"/>
        </w:rPr>
        <w:t>Prepared from a user-supplied hypothesis note</w:t>
      </w:r>
    </w:p>
    <w:p>
      <w:pPr>
        <w:jc w:val="center"/>
      </w:pPr>
      <w:r>
        <w:rPr>
          <w:rFonts w:ascii="Cambria" w:hAnsi="Cambria"/>
          <w:sz w:val="22"/>
        </w:rPr>
        <w:t>7 March 2026</w:t>
      </w:r>
    </w:p>
    <w:p/>
    <w:tbl>
      <w:tblPr>
        <w:tblW w:type="auto" w:w="0"/>
        <w:jc w:val="center"/>
        <w:tblLayout w:type="fixed"/>
        <w:tblLook w:firstColumn="1" w:firstRow="1" w:lastColumn="0" w:lastRow="0" w:noHBand="0" w:noVBand="1" w:val="04A0"/>
      </w:tblPr>
      <w:tblGrid>
        <w:gridCol w:w="9504"/>
      </w:tblGrid>
      <w:tr>
        <w:tc>
          <w:tcPr>
            <w:tcW w:type="dxa" w:w="9504"/>
            <w:shd w:fill="EEF3FB"/>
            <w:tcMar>
              <w:top w:w="120" w:type="dxa"/>
              <w:start w:w="160" w:type="dxa"/>
              <w:bottom w:w="120" w:type="dxa"/>
              <w:end w:w="160" w:type="dxa"/>
            </w:tcMar>
            <w:vAlign w:val="center"/>
          </w:tcPr>
          <w:p>
            <w:r>
              <w:rPr>
                <w:b/>
              </w:rPr>
              <w:t xml:space="preserve">Provenance and scope. </w:t>
            </w:r>
            <w:r>
              <w:t>This document formalizes the hypothesis contained in the uploaded file README.md. It keeps the user’s central claim, adds explicit assumptions, and separates reduced-model results that are proved here from broader claims about the full Gray–Scott partial differential equation that remain conjectural.</w:t>
            </w:r>
          </w:p>
        </w:tc>
      </w:tr>
    </w:tbl>
    <w:p>
      <w:r>
        <w:br w:type="page"/>
      </w:r>
    </w:p>
    <w:p>
      <w:pPr>
        <w:pStyle w:val="Heading1"/>
      </w:pPr>
      <w:r>
        <w:t>Abstract</w:t>
      </w:r>
    </w:p>
    <w:p>
      <w:r>
        <w:t>This note develops a formal version of the hypothesis that chaotic spot dynamics in the Gray–Scott system arise when discrete spot replication events occur faster than substrate-mediated diffusion can communicate spatial information across neighboring spots. The proposed control parameter is the Replication Péclet number, Pe_r = L²/(D_u τ_r), where L is a characteristic inter-spot spacing, D_u is the substrate diffusivity, and τ_r is a characteristic replication time. The note first explains the idea in natural language, then derives the dimensionless ratio from the outer-region substrate equation, and finally proves a sequence of reduced-model results: an operational interpretation of Pe_r, a transport-kernel derivation, a probabilistic birth-before-communication law, and monotonicity with respect to diffusion, spacing, and replication time. The main conclusion is narrow but useful: the ratio L²/(D_u τ_r) is a rigorously justified reduced-model organizing variable for replication-versus-communication competition. A universal sharp threshold at Pe_r = 1 for the full Gray–Scott PDE is not proved here.</w:t>
      </w:r>
    </w:p>
    <w:tbl>
      <w:tblPr>
        <w:tblW w:type="auto" w:w="0"/>
        <w:jc w:val="center"/>
        <w:tblLayout w:type="fixed"/>
        <w:tblLook w:firstColumn="1" w:firstRow="1" w:lastColumn="0" w:lastRow="0" w:noHBand="0" w:noVBand="1" w:val="04A0"/>
      </w:tblPr>
      <w:tblGrid>
        <w:gridCol w:w="4752"/>
        <w:gridCol w:w="4752"/>
      </w:tblGrid>
      <w:tr>
        <w:tc>
          <w:tcPr>
            <w:tcW w:type="dxa" w:w="4752"/>
            <w:tcMar>
              <w:top w:w="90" w:type="dxa"/>
              <w:start w:w="110" w:type="dxa"/>
              <w:bottom w:w="90" w:type="dxa"/>
              <w:end w:w="110" w:type="dxa"/>
            </w:tcMar>
            <w:vAlign w:val="center"/>
            <w:shd w:fill="DCE6F8"/>
          </w:tcPr>
          <w:p>
            <w:r>
              <w:rPr>
                <w:b/>
              </w:rPr>
              <w:t>Key quantity</w:t>
            </w:r>
          </w:p>
        </w:tc>
        <w:tc>
          <w:tcPr>
            <w:tcW w:type="dxa" w:w="4752"/>
            <w:tcMar>
              <w:top w:w="90" w:type="dxa"/>
              <w:start w:w="110" w:type="dxa"/>
              <w:bottom w:w="90" w:type="dxa"/>
              <w:end w:w="110" w:type="dxa"/>
            </w:tcMar>
            <w:vAlign w:val="center"/>
          </w:tcPr>
          <w:p>
            <w:r>
              <w:t>Pe_r = L² / (D_u τ_r)</w:t>
            </w:r>
          </w:p>
        </w:tc>
      </w:tr>
      <w:tr>
        <w:tc>
          <w:tcPr>
            <w:tcW w:type="dxa" w:w="4752"/>
            <w:tcMar>
              <w:top w:w="90" w:type="dxa"/>
              <w:start w:w="110" w:type="dxa"/>
              <w:bottom w:w="90" w:type="dxa"/>
              <w:end w:w="110" w:type="dxa"/>
            </w:tcMar>
            <w:vAlign w:val="center"/>
            <w:shd w:fill="DCE6F8"/>
          </w:tcPr>
          <w:p>
            <w:r>
              <w:rPr>
                <w:b/>
              </w:rPr>
              <w:t>Working interpretation</w:t>
            </w:r>
          </w:p>
        </w:tc>
        <w:tc>
          <w:tcPr>
            <w:tcW w:type="dxa" w:w="4752"/>
            <w:tcMar>
              <w:top w:w="90" w:type="dxa"/>
              <w:start w:w="110" w:type="dxa"/>
              <w:bottom w:w="90" w:type="dxa"/>
              <w:end w:w="110" w:type="dxa"/>
            </w:tcMar>
            <w:vAlign w:val="center"/>
          </w:tcPr>
          <w:p>
            <w:r>
              <w:t>The expected number of replication intervals that fit inside one diffusive communication window across one inter-spot gap.</w:t>
            </w:r>
          </w:p>
        </w:tc>
      </w:tr>
    </w:tbl>
    <w:p/>
    <w:p>
      <w:pPr>
        <w:pStyle w:val="Heading1"/>
      </w:pPr>
      <w:r>
        <w:t>1. Plain-language statement of the hypothesis</w:t>
      </w:r>
    </w:p>
    <w:p>
      <w:r>
        <w:t>The Gray–Scott model describes an activator–substrate reaction–diffusion system in which localized spots of the activator can grow, split, and disappear. The user’s hypothesis is that the transition to chaotic spot dynamics is controlled by a race between two distinct processes: local spot replication and nonlocal diffusive communication through the substrate field.</w:t>
      </w:r>
    </w:p>
    <w:p>
      <w:r>
        <w:t>The physical picture is simple. Replication is local. Communication is not. A spot can only influence distant spots through the substrate concentration u. If the diffusive substrate signal crosses one inter-spot gap before another replication event occurs, then neighboring spots have time to adjust spacing and suppress overcrowding. If replication occurs first, new spots are created before inhibitory or recovery information has spread, so disorder accumulates faster than the pattern can organize itself.</w:t>
      </w:r>
    </w:p>
    <w:p>
      <w:r>
        <w:t>In this framing, chaos is not treated as an abstract phase-space story first. It is treated as an information-propagation failure in physical space between discrete replicating entities. This is the intuitive core of the hypothesis.</w:t>
      </w:r>
    </w:p>
    <w:p>
      <w:r>
        <w:br w:type="page"/>
      </w:r>
    </w:p>
    <w:p>
      <w:pPr>
        <w:pStyle w:val="Heading1"/>
      </w:pPr>
      <w:r>
        <w:t>2. Governing equations and modeling assumptions</w:t>
      </w:r>
    </w:p>
    <w:p>
      <w:r>
        <w:t>The two-dimensional Gray–Scott equations are written as follows.</w:t>
      </w:r>
    </w:p>
    <w:p>
      <w:pPr>
        <w:pStyle w:val="Equation"/>
      </w:pPr>
      <w:r>
        <w:t>∂u/∂t = D_u ∇²u − u v² + F(1 − u),</w:t>
      </w:r>
    </w:p>
    <w:p>
      <w:pPr>
        <w:pStyle w:val="Equation"/>
      </w:pPr>
      <w:r>
        <w:t>∂v/∂t = D_v ∇²v + u v² − (F + k) v.</w:t>
      </w:r>
    </w:p>
    <w:p>
      <w:r>
        <w:t>The quantities used in this note are summarized in Table 1.</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DCE6F8"/>
            <w:tcMar>
              <w:top w:w="100" w:type="dxa"/>
              <w:start w:w="110" w:type="dxa"/>
              <w:bottom w:w="100" w:type="dxa"/>
              <w:end w:w="110" w:type="dxa"/>
            </w:tcMar>
            <w:vAlign w:val="center"/>
          </w:tcPr>
          <w:p>
            <w:pPr>
              <w:jc w:val="center"/>
            </w:pPr>
            <w:r>
              <w:rPr>
                <w:b/>
              </w:rPr>
              <w:t>Symbol</w:t>
            </w:r>
          </w:p>
        </w:tc>
        <w:tc>
          <w:tcPr>
            <w:tcW w:type="dxa" w:w="2376"/>
            <w:shd w:fill="DCE6F8"/>
            <w:tcMar>
              <w:top w:w="100" w:type="dxa"/>
              <w:start w:w="110" w:type="dxa"/>
              <w:bottom w:w="100" w:type="dxa"/>
              <w:end w:w="110" w:type="dxa"/>
            </w:tcMar>
            <w:vAlign w:val="center"/>
          </w:tcPr>
          <w:p>
            <w:pPr>
              <w:jc w:val="center"/>
            </w:pPr>
            <w:r>
              <w:rPr>
                <w:b/>
              </w:rPr>
              <w:t>Meaning</w:t>
            </w:r>
          </w:p>
        </w:tc>
        <w:tc>
          <w:tcPr>
            <w:tcW w:type="dxa" w:w="2376"/>
            <w:shd w:fill="DCE6F8"/>
            <w:tcMar>
              <w:top w:w="100" w:type="dxa"/>
              <w:start w:w="110" w:type="dxa"/>
              <w:bottom w:w="100" w:type="dxa"/>
              <w:end w:w="110" w:type="dxa"/>
            </w:tcMar>
            <w:vAlign w:val="center"/>
          </w:tcPr>
          <w:p>
            <w:pPr>
              <w:jc w:val="center"/>
            </w:pPr>
            <w:r>
              <w:rPr>
                <w:b/>
              </w:rPr>
              <w:t>Role in the hypothesis</w:t>
            </w:r>
          </w:p>
        </w:tc>
        <w:tc>
          <w:tcPr>
            <w:tcW w:type="dxa" w:w="2376"/>
            <w:shd w:fill="DCE6F8"/>
            <w:tcMar>
              <w:top w:w="100" w:type="dxa"/>
              <w:start w:w="110" w:type="dxa"/>
              <w:bottom w:w="100" w:type="dxa"/>
              <w:end w:w="110" w:type="dxa"/>
            </w:tcMar>
            <w:vAlign w:val="center"/>
          </w:tcPr>
          <w:p>
            <w:pPr>
              <w:jc w:val="center"/>
            </w:pPr>
            <w:r>
              <w:rPr>
                <w:b/>
              </w:rPr>
              <w:t>Units</w:t>
            </w:r>
          </w:p>
        </w:tc>
      </w:tr>
      <w:tr>
        <w:tc>
          <w:tcPr>
            <w:tcW w:type="dxa" w:w="2376"/>
            <w:tcMar>
              <w:top w:w="80" w:type="dxa"/>
              <w:start w:w="100" w:type="dxa"/>
              <w:bottom w:w="80" w:type="dxa"/>
              <w:end w:w="100" w:type="dxa"/>
            </w:tcMar>
            <w:vAlign w:val="center"/>
          </w:tcPr>
          <w:p>
            <w:pPr>
              <w:jc w:val="center"/>
            </w:pPr>
            <w:r>
              <w:t>u</w:t>
            </w:r>
          </w:p>
        </w:tc>
        <w:tc>
          <w:tcPr>
            <w:tcW w:type="dxa" w:w="2376"/>
            <w:tcMar>
              <w:top w:w="80" w:type="dxa"/>
              <w:start w:w="100" w:type="dxa"/>
              <w:bottom w:w="80" w:type="dxa"/>
              <w:end w:w="100" w:type="dxa"/>
            </w:tcMar>
            <w:vAlign w:val="center"/>
          </w:tcPr>
          <w:p>
            <w:pPr>
              <w:jc w:val="left"/>
            </w:pPr>
            <w:r>
              <w:t>substrate concentration</w:t>
            </w:r>
          </w:p>
        </w:tc>
        <w:tc>
          <w:tcPr>
            <w:tcW w:type="dxa" w:w="2376"/>
            <w:tcMar>
              <w:top w:w="80" w:type="dxa"/>
              <w:start w:w="100" w:type="dxa"/>
              <w:bottom w:w="80" w:type="dxa"/>
              <w:end w:w="100" w:type="dxa"/>
            </w:tcMar>
            <w:vAlign w:val="center"/>
          </w:tcPr>
          <w:p>
            <w:pPr>
              <w:jc w:val="left"/>
            </w:pPr>
            <w:r>
              <w:t>long-range signaling channel</w:t>
            </w:r>
          </w:p>
        </w:tc>
        <w:tc>
          <w:tcPr>
            <w:tcW w:type="dxa" w:w="2376"/>
            <w:tcMar>
              <w:top w:w="80" w:type="dxa"/>
              <w:start w:w="100" w:type="dxa"/>
              <w:bottom w:w="80" w:type="dxa"/>
              <w:end w:w="100" w:type="dxa"/>
            </w:tcMar>
            <w:vAlign w:val="center"/>
          </w:tcPr>
          <w:p>
            <w:pPr>
              <w:jc w:val="center"/>
            </w:pPr>
            <w:r>
              <w:t>concentration</w:t>
            </w:r>
          </w:p>
        </w:tc>
      </w:tr>
      <w:tr>
        <w:tc>
          <w:tcPr>
            <w:tcW w:type="dxa" w:w="2376"/>
            <w:tcMar>
              <w:top w:w="80" w:type="dxa"/>
              <w:start w:w="100" w:type="dxa"/>
              <w:bottom w:w="80" w:type="dxa"/>
              <w:end w:w="100" w:type="dxa"/>
            </w:tcMar>
            <w:vAlign w:val="center"/>
          </w:tcPr>
          <w:p>
            <w:pPr>
              <w:jc w:val="center"/>
            </w:pPr>
            <w:r>
              <w:t>v</w:t>
            </w:r>
          </w:p>
        </w:tc>
        <w:tc>
          <w:tcPr>
            <w:tcW w:type="dxa" w:w="2376"/>
            <w:tcMar>
              <w:top w:w="80" w:type="dxa"/>
              <w:start w:w="100" w:type="dxa"/>
              <w:bottom w:w="80" w:type="dxa"/>
              <w:end w:w="100" w:type="dxa"/>
            </w:tcMar>
            <w:vAlign w:val="center"/>
          </w:tcPr>
          <w:p>
            <w:pPr>
              <w:jc w:val="left"/>
            </w:pPr>
            <w:r>
              <w:t>activator concentration</w:t>
            </w:r>
          </w:p>
        </w:tc>
        <w:tc>
          <w:tcPr>
            <w:tcW w:type="dxa" w:w="2376"/>
            <w:tcMar>
              <w:top w:w="80" w:type="dxa"/>
              <w:start w:w="100" w:type="dxa"/>
              <w:bottom w:w="80" w:type="dxa"/>
              <w:end w:w="100" w:type="dxa"/>
            </w:tcMar>
            <w:vAlign w:val="center"/>
          </w:tcPr>
          <w:p>
            <w:pPr>
              <w:jc w:val="left"/>
            </w:pPr>
            <w:r>
              <w:t>localized spot-forming field</w:t>
            </w:r>
          </w:p>
        </w:tc>
        <w:tc>
          <w:tcPr>
            <w:tcW w:type="dxa" w:w="2376"/>
            <w:tcMar>
              <w:top w:w="80" w:type="dxa"/>
              <w:start w:w="100" w:type="dxa"/>
              <w:bottom w:w="80" w:type="dxa"/>
              <w:end w:w="100" w:type="dxa"/>
            </w:tcMar>
            <w:vAlign w:val="center"/>
          </w:tcPr>
          <w:p>
            <w:pPr>
              <w:jc w:val="center"/>
            </w:pPr>
            <w:r>
              <w:t>concentration</w:t>
            </w:r>
          </w:p>
        </w:tc>
      </w:tr>
      <w:tr>
        <w:tc>
          <w:tcPr>
            <w:tcW w:type="dxa" w:w="2376"/>
            <w:tcMar>
              <w:top w:w="80" w:type="dxa"/>
              <w:start w:w="100" w:type="dxa"/>
              <w:bottom w:w="80" w:type="dxa"/>
              <w:end w:w="100" w:type="dxa"/>
            </w:tcMar>
            <w:vAlign w:val="center"/>
          </w:tcPr>
          <w:p>
            <w:pPr>
              <w:jc w:val="center"/>
            </w:pPr>
            <w:r>
              <w:t>D_u</w:t>
            </w:r>
          </w:p>
        </w:tc>
        <w:tc>
          <w:tcPr>
            <w:tcW w:type="dxa" w:w="2376"/>
            <w:tcMar>
              <w:top w:w="80" w:type="dxa"/>
              <w:start w:w="100" w:type="dxa"/>
              <w:bottom w:w="80" w:type="dxa"/>
              <w:end w:w="100" w:type="dxa"/>
            </w:tcMar>
            <w:vAlign w:val="center"/>
          </w:tcPr>
          <w:p>
            <w:pPr>
              <w:jc w:val="left"/>
            </w:pPr>
            <w:r>
              <w:t>substrate diffusivity</w:t>
            </w:r>
          </w:p>
        </w:tc>
        <w:tc>
          <w:tcPr>
            <w:tcW w:type="dxa" w:w="2376"/>
            <w:tcMar>
              <w:top w:w="80" w:type="dxa"/>
              <w:start w:w="100" w:type="dxa"/>
              <w:bottom w:w="80" w:type="dxa"/>
              <w:end w:w="100" w:type="dxa"/>
            </w:tcMar>
            <w:vAlign w:val="center"/>
          </w:tcPr>
          <w:p>
            <w:pPr>
              <w:jc w:val="left"/>
            </w:pPr>
            <w:r>
              <w:t>sets communication speed</w:t>
            </w:r>
          </w:p>
        </w:tc>
        <w:tc>
          <w:tcPr>
            <w:tcW w:type="dxa" w:w="2376"/>
            <w:tcMar>
              <w:top w:w="80" w:type="dxa"/>
              <w:start w:w="100" w:type="dxa"/>
              <w:bottom w:w="80" w:type="dxa"/>
              <w:end w:w="100" w:type="dxa"/>
            </w:tcMar>
            <w:vAlign w:val="center"/>
          </w:tcPr>
          <w:p>
            <w:pPr>
              <w:jc w:val="center"/>
            </w:pPr>
            <w:r>
              <w:t>length²/time</w:t>
            </w:r>
          </w:p>
        </w:tc>
      </w:tr>
      <w:tr>
        <w:tc>
          <w:tcPr>
            <w:tcW w:type="dxa" w:w="2376"/>
            <w:tcMar>
              <w:top w:w="80" w:type="dxa"/>
              <w:start w:w="100" w:type="dxa"/>
              <w:bottom w:w="80" w:type="dxa"/>
              <w:end w:w="100" w:type="dxa"/>
            </w:tcMar>
            <w:vAlign w:val="center"/>
          </w:tcPr>
          <w:p>
            <w:pPr>
              <w:jc w:val="center"/>
            </w:pPr>
            <w:r>
              <w:t>L</w:t>
            </w:r>
          </w:p>
        </w:tc>
        <w:tc>
          <w:tcPr>
            <w:tcW w:type="dxa" w:w="2376"/>
            <w:tcMar>
              <w:top w:w="80" w:type="dxa"/>
              <w:start w:w="100" w:type="dxa"/>
              <w:bottom w:w="80" w:type="dxa"/>
              <w:end w:w="100" w:type="dxa"/>
            </w:tcMar>
            <w:vAlign w:val="center"/>
          </w:tcPr>
          <w:p>
            <w:pPr>
              <w:jc w:val="left"/>
            </w:pPr>
            <w:r>
              <w:t>characteristic inter-spot distance</w:t>
            </w:r>
          </w:p>
        </w:tc>
        <w:tc>
          <w:tcPr>
            <w:tcW w:type="dxa" w:w="2376"/>
            <w:tcMar>
              <w:top w:w="80" w:type="dxa"/>
              <w:start w:w="100" w:type="dxa"/>
              <w:bottom w:w="80" w:type="dxa"/>
              <w:end w:w="100" w:type="dxa"/>
            </w:tcMar>
            <w:vAlign w:val="center"/>
          </w:tcPr>
          <w:p>
            <w:pPr>
              <w:jc w:val="left"/>
            </w:pPr>
            <w:r>
              <w:t>communication length scale</w:t>
            </w:r>
          </w:p>
        </w:tc>
        <w:tc>
          <w:tcPr>
            <w:tcW w:type="dxa" w:w="2376"/>
            <w:tcMar>
              <w:top w:w="80" w:type="dxa"/>
              <w:start w:w="100" w:type="dxa"/>
              <w:bottom w:w="80" w:type="dxa"/>
              <w:end w:w="100" w:type="dxa"/>
            </w:tcMar>
            <w:vAlign w:val="center"/>
          </w:tcPr>
          <w:p>
            <w:pPr>
              <w:jc w:val="center"/>
            </w:pPr>
            <w:r>
              <w:t>length</w:t>
            </w:r>
          </w:p>
        </w:tc>
      </w:tr>
      <w:tr>
        <w:tc>
          <w:tcPr>
            <w:tcW w:type="dxa" w:w="2376"/>
            <w:tcMar>
              <w:top w:w="80" w:type="dxa"/>
              <w:start w:w="100" w:type="dxa"/>
              <w:bottom w:w="80" w:type="dxa"/>
              <w:end w:w="100" w:type="dxa"/>
            </w:tcMar>
            <w:vAlign w:val="center"/>
          </w:tcPr>
          <w:p>
            <w:pPr>
              <w:jc w:val="center"/>
            </w:pPr>
            <w:r>
              <w:t>τ_r</w:t>
            </w:r>
          </w:p>
        </w:tc>
        <w:tc>
          <w:tcPr>
            <w:tcW w:type="dxa" w:w="2376"/>
            <w:tcMar>
              <w:top w:w="80" w:type="dxa"/>
              <w:start w:w="100" w:type="dxa"/>
              <w:bottom w:w="80" w:type="dxa"/>
              <w:end w:w="100" w:type="dxa"/>
            </w:tcMar>
            <w:vAlign w:val="center"/>
          </w:tcPr>
          <w:p>
            <w:pPr>
              <w:jc w:val="left"/>
            </w:pPr>
            <w:r>
              <w:t>replication time</w:t>
            </w:r>
          </w:p>
        </w:tc>
        <w:tc>
          <w:tcPr>
            <w:tcW w:type="dxa" w:w="2376"/>
            <w:tcMar>
              <w:top w:w="80" w:type="dxa"/>
              <w:start w:w="100" w:type="dxa"/>
              <w:bottom w:w="80" w:type="dxa"/>
              <w:end w:w="100" w:type="dxa"/>
            </w:tcMar>
            <w:vAlign w:val="center"/>
          </w:tcPr>
          <w:p>
            <w:pPr>
              <w:jc w:val="left"/>
            </w:pPr>
            <w:r>
              <w:t>local birth time scale</w:t>
            </w:r>
          </w:p>
        </w:tc>
        <w:tc>
          <w:tcPr>
            <w:tcW w:type="dxa" w:w="2376"/>
            <w:tcMar>
              <w:top w:w="80" w:type="dxa"/>
              <w:start w:w="100" w:type="dxa"/>
              <w:bottom w:w="80" w:type="dxa"/>
              <w:end w:w="100" w:type="dxa"/>
            </w:tcMar>
            <w:vAlign w:val="center"/>
          </w:tcPr>
          <w:p>
            <w:pPr>
              <w:jc w:val="center"/>
            </w:pPr>
            <w:r>
              <w:t>time</w:t>
            </w:r>
          </w:p>
        </w:tc>
      </w:tr>
      <w:tr>
        <w:tc>
          <w:tcPr>
            <w:tcW w:type="dxa" w:w="2376"/>
            <w:tcMar>
              <w:top w:w="80" w:type="dxa"/>
              <w:start w:w="100" w:type="dxa"/>
              <w:bottom w:w="80" w:type="dxa"/>
              <w:end w:w="100" w:type="dxa"/>
            </w:tcMar>
            <w:vAlign w:val="center"/>
          </w:tcPr>
          <w:p>
            <w:pPr>
              <w:jc w:val="center"/>
            </w:pPr>
            <w:r>
              <w:t>Pe_r</w:t>
            </w:r>
          </w:p>
        </w:tc>
        <w:tc>
          <w:tcPr>
            <w:tcW w:type="dxa" w:w="2376"/>
            <w:tcMar>
              <w:top w:w="80" w:type="dxa"/>
              <w:start w:w="100" w:type="dxa"/>
              <w:bottom w:w="80" w:type="dxa"/>
              <w:end w:w="100" w:type="dxa"/>
            </w:tcMar>
            <w:vAlign w:val="center"/>
          </w:tcPr>
          <w:p>
            <w:pPr>
              <w:jc w:val="left"/>
            </w:pPr>
            <w:r>
              <w:t>Replication Péclet number</w:t>
            </w:r>
          </w:p>
        </w:tc>
        <w:tc>
          <w:tcPr>
            <w:tcW w:type="dxa" w:w="2376"/>
            <w:tcMar>
              <w:top w:w="80" w:type="dxa"/>
              <w:start w:w="100" w:type="dxa"/>
              <w:bottom w:w="80" w:type="dxa"/>
              <w:end w:w="100" w:type="dxa"/>
            </w:tcMar>
            <w:vAlign w:val="center"/>
          </w:tcPr>
          <w:p>
            <w:pPr>
              <w:jc w:val="left"/>
            </w:pPr>
            <w:r>
              <w:t>transport-vs-replication ratio</w:t>
            </w:r>
          </w:p>
        </w:tc>
        <w:tc>
          <w:tcPr>
            <w:tcW w:type="dxa" w:w="2376"/>
            <w:tcMar>
              <w:top w:w="80" w:type="dxa"/>
              <w:start w:w="100" w:type="dxa"/>
              <w:bottom w:w="80" w:type="dxa"/>
              <w:end w:w="100" w:type="dxa"/>
            </w:tcMar>
            <w:vAlign w:val="center"/>
          </w:tcPr>
          <w:p>
            <w:pPr>
              <w:jc w:val="center"/>
            </w:pPr>
            <w:r>
              <w:t>dimensionless</w:t>
            </w:r>
          </w:p>
        </w:tc>
      </w:tr>
    </w:tbl>
    <w:p>
      <w:r>
        <w:t>This note makes four explicit assumptions.</w:t>
      </w:r>
    </w:p>
    <w:p>
      <w:pPr>
        <w:ind w:left="360"/>
      </w:pPr>
      <w:r>
        <w:rPr>
          <w:b/>
        </w:rPr>
        <w:t xml:space="preserve">• </w:t>
      </w:r>
      <w:r>
        <w:t>Localized spots are well defined, so there is a meaningful nearest-neighbor spacing L and a meaningful replication time τ_r.</w:t>
      </w:r>
    </w:p>
    <w:p>
      <w:pPr>
        <w:ind w:left="360"/>
      </w:pPr>
      <w:r>
        <w:rPr>
          <w:b/>
        </w:rPr>
        <w:t xml:space="preserve">• </w:t>
      </w:r>
      <w:r>
        <w:t>Outside spot cores, the activator field v is small enough that the substrate equation can be linearized to leading order.</w:t>
      </w:r>
    </w:p>
    <w:p>
      <w:pPr>
        <w:ind w:left="360"/>
      </w:pPr>
      <w:r>
        <w:rPr>
          <w:b/>
        </w:rPr>
        <w:t xml:space="preserve">• </w:t>
      </w:r>
      <w:r>
        <w:t>The substrate is the dominant long-range coordination channel.</w:t>
      </w:r>
    </w:p>
    <w:p>
      <w:pPr>
        <w:ind w:left="360"/>
      </w:pPr>
      <w:r>
        <w:rPr>
          <w:b/>
        </w:rPr>
        <w:t xml:space="preserve">• </w:t>
      </w:r>
      <w:r>
        <w:t>The theorem-style results below are reduced-model results. They do not by themselves establish a complete if-and-only-if theorem for the full Gray–Scott PDE.</w:t>
      </w:r>
    </w:p>
    <w:p>
      <w:pPr>
        <w:pStyle w:val="Heading1"/>
      </w:pPr>
      <w:r>
        <w:t>3. Outer-region signaling reduction</w:t>
      </w:r>
    </w:p>
    <w:p>
      <w:r>
        <w:t>Define the substrate depletion variable w = 1 − u. Substituting u = 1 − w into the u-equation gives an exact evolution law for w:</w:t>
      </w:r>
    </w:p>
    <w:p>
      <w:pPr>
        <w:pStyle w:val="Equation"/>
      </w:pPr>
      <w:r>
        <w:t>∂w/∂t = D_u ∇²w + u v² − F w.</w:t>
      </w:r>
    </w:p>
    <w:p>
      <w:r>
        <w:t>Away from spot cores, v is small, so the nonlinear source term u v² is negligible to leading order. In the outer region the depletion field therefore obeys the linear diffusion–relaxation equation</w:t>
      </w:r>
    </w:p>
    <w:p>
      <w:pPr>
        <w:pStyle w:val="Equation"/>
      </w:pPr>
      <w:r>
        <w:t>∂w/∂t ≈ D_u ∇²w − F w.</w:t>
      </w:r>
    </w:p>
    <w:p>
      <w:r>
        <w:t>This equation already contains the central physics of the hypothesis: diffusion controls how fast information spreads across space, while the feed term limits how long substrate depletion persists.</w:t>
      </w:r>
    </w:p>
    <w:p>
      <w:pPr>
        <w:pStyle w:val="Heading1"/>
      </w:pPr>
      <w:r>
        <w:t>4. Definition of the Replication Péclet number</w:t>
      </w:r>
    </w:p>
    <w:p>
      <w:r>
        <w:t>The characteristic diffusive communication time across one inter-spot gap of size L scales as</w:t>
      </w:r>
    </w:p>
    <w:p>
      <w:pPr>
        <w:pStyle w:val="Equation"/>
      </w:pPr>
      <w:r>
        <w:t>t_comm ~ L² / D_u.</w:t>
      </w:r>
    </w:p>
    <w:p>
      <w:r>
        <w:t>Let τ_r denote the mean time from the birth of a spot to its next replication event. The proposed dimensionless ratio is then</w:t>
      </w:r>
    </w:p>
    <w:p>
      <w:pPr>
        <w:pStyle w:val="Equation"/>
      </w:pPr>
      <w:r>
        <w:t>Pe_r := L² / (D_u τ_r).</w:t>
      </w:r>
    </w:p>
    <w:p>
      <w:r>
        <w:t>This is the user’s Replication Péclet number. The name is suggestive rather than standard: unlike the classical Péclet number, which compares convection and diffusion, this ratio compares diffusive signaling with discrete replication.</w:t>
      </w:r>
    </w:p>
    <w:p>
      <w:pPr>
        <w:pStyle w:val="Heading1"/>
      </w:pPr>
      <w:r>
        <w:t>5. Reduced-model derivation and proofs</w:t>
      </w:r>
    </w:p>
    <w:p>
      <w:pPr>
        <w:pStyle w:val="Heading2"/>
      </w:pPr>
      <w:r>
        <w:t>Theorem 1 (operational meaning).</w:t>
      </w:r>
    </w:p>
    <w:p>
      <w:r>
        <w:rPr>
          <w:b/>
        </w:rPr>
        <w:t xml:space="preserve">Statement. </w:t>
      </w:r>
      <w:r>
        <w:t>Let t_comm ~ L²/D_u be the communication time across one inter-spot gap and let τ_r be the mean replication time. Then Pe_r = L²/(D_u τ_r) is the expected number of replication intervals that fit inside one communication window.</w:t>
      </w:r>
    </w:p>
    <w:p>
      <w:r>
        <w:rPr>
          <w:b/>
        </w:rPr>
        <w:t xml:space="preserve">Proof sketch. </w:t>
      </w:r>
    </w:p>
    <w:p>
      <w:pPr>
        <w:ind w:left="432"/>
      </w:pPr>
      <w:r>
        <w:rPr>
          <w:b/>
        </w:rPr>
        <w:t xml:space="preserve">• </w:t>
      </w:r>
      <w:r>
        <w:t>By definition, t_comm ~ L²/D_u.</w:t>
      </w:r>
    </w:p>
    <w:p>
      <w:pPr>
        <w:ind w:left="432"/>
      </w:pPr>
      <w:r>
        <w:rPr>
          <w:b/>
        </w:rPr>
        <w:t xml:space="preserve">• </w:t>
      </w:r>
      <w:r>
        <w:t>The number of replication intervals that fit inside that window is N = t_comm/τ_r.</w:t>
      </w:r>
    </w:p>
    <w:p>
      <w:pPr>
        <w:ind w:left="432"/>
      </w:pPr>
      <w:r>
        <w:rPr>
          <w:b/>
        </w:rPr>
        <w:t xml:space="preserve">• </w:t>
      </w:r>
      <w:r>
        <w:t>Substituting the scaling for t_comm gives N ~ L²/(D_u τ_r) = Pe_r.</w:t>
      </w:r>
    </w:p>
    <w:p>
      <w:pPr>
        <w:ind w:left="432"/>
      </w:pPr>
      <w:r>
        <w:rPr>
          <w:b/>
        </w:rPr>
        <w:t xml:space="preserve">• </w:t>
      </w:r>
      <w:r>
        <w:t>Therefore Pe_r is not only dimensionless; it has a direct operational interpretation.</w:t>
      </w:r>
    </w:p>
    <w:p>
      <w:pPr>
        <w:pStyle w:val="Heading2"/>
      </w:pPr>
      <w:r>
        <w:t>Theorem 2 (transport-kernel derivation).</w:t>
      </w:r>
    </w:p>
    <w:p>
      <w:r>
        <w:rPr>
          <w:b/>
        </w:rPr>
        <w:t xml:space="preserve">Statement. </w:t>
      </w:r>
      <w:r>
        <w:t>For the linear outer-region substrate equation ∂w/∂t = D_u ∇²w − Fw in two dimensions, the Green function is</w:t>
      </w:r>
    </w:p>
    <w:p>
      <w:r>
        <w:rPr>
          <w:b/>
        </w:rPr>
        <w:t xml:space="preserve">Proof sketch. </w:t>
      </w:r>
    </w:p>
    <w:p>
      <w:pPr>
        <w:ind w:left="432"/>
      </w:pPr>
      <w:r>
        <w:rPr>
          <w:b/>
        </w:rPr>
        <w:t xml:space="preserve">• </w:t>
      </w:r>
      <w:r>
        <w:t>G(x,t) = [4π D_u t]⁻¹ exp(−|x|²/(4 D_u t) − F t).</w:t>
      </w:r>
    </w:p>
    <w:p>
      <w:pPr>
        <w:ind w:left="432"/>
      </w:pPr>
      <w:r>
        <w:rPr>
          <w:b/>
        </w:rPr>
        <w:t xml:space="preserve">• </w:t>
      </w:r>
      <w:r>
        <w:t>Evaluating the kernel at distance L and time τ_r gives</w:t>
      </w:r>
    </w:p>
    <w:p>
      <w:pPr>
        <w:ind w:left="432"/>
      </w:pPr>
      <w:r>
        <w:rPr>
          <w:b/>
        </w:rPr>
        <w:t xml:space="preserve">• </w:t>
      </w:r>
      <w:r>
        <w:t>G(L,τ_r) ∝ exp(−L²/(4 D_u τ_r) − F τ_r).</w:t>
      </w:r>
    </w:p>
    <w:p>
      <w:pPr>
        <w:ind w:left="432"/>
      </w:pPr>
      <w:r>
        <w:rPr>
          <w:b/>
        </w:rPr>
        <w:t xml:space="preserve">• </w:t>
      </w:r>
      <w:r>
        <w:t>Hence the transport penalty over one replication time is governed by the dimensionless group L²/(D_u τ_r), up to an order-one constant.</w:t>
      </w:r>
    </w:p>
    <w:p>
      <w:pPr>
        <w:pStyle w:val="Heading2"/>
      </w:pPr>
      <w:r>
        <w:t>Theorem 3 (birth-before-communication probability).</w:t>
      </w:r>
    </w:p>
    <w:p>
      <w:r>
        <w:rPr>
          <w:b/>
        </w:rPr>
        <w:t xml:space="preserve">Statement. </w:t>
      </w:r>
      <w:r>
        <w:t>If replication events are approximated as a Poisson process of rate λ_r = 1/τ_r, then the probability that at least one replication occurs before communication across one gap is</w:t>
      </w:r>
    </w:p>
    <w:p>
      <w:r>
        <w:rPr>
          <w:b/>
        </w:rPr>
        <w:t xml:space="preserve">Proof sketch. </w:t>
      </w:r>
    </w:p>
    <w:p>
      <w:pPr>
        <w:ind w:left="432"/>
      </w:pPr>
      <w:r>
        <w:rPr>
          <w:b/>
        </w:rPr>
        <w:t xml:space="preserve">• </w:t>
      </w:r>
      <w:r>
        <w:t>P_unc = 1 − exp(−Pe_r).</w:t>
      </w:r>
    </w:p>
    <w:p>
      <w:pPr>
        <w:ind w:left="432"/>
      </w:pPr>
      <w:r>
        <w:rPr>
          <w:b/>
        </w:rPr>
        <w:t xml:space="preserve">• </w:t>
      </w:r>
      <w:r>
        <w:t>This follows because the probability of zero events in time T for a Poisson process of rate λ_r is exp(−λ_r T).</w:t>
      </w:r>
    </w:p>
    <w:p>
      <w:pPr>
        <w:ind w:left="432"/>
      </w:pPr>
      <w:r>
        <w:rPr>
          <w:b/>
        </w:rPr>
        <w:t xml:space="preserve">• </w:t>
      </w:r>
      <w:r>
        <w:t>Set T = L²/D_u and λ_r = 1/τ_r to obtain the stated expression.</w:t>
      </w:r>
    </w:p>
    <w:p>
      <w:pPr>
        <w:ind w:left="432"/>
      </w:pPr>
      <w:r>
        <w:rPr>
          <w:b/>
        </w:rPr>
        <w:t xml:space="preserve">• </w:t>
      </w:r>
      <w:r>
        <w:t>The commonly stated threshold Pe_r ≈ 1 therefore means an order-one probability of uncoordinated birth, not a mathematically exact universal constant.</w:t>
      </w:r>
    </w:p>
    <w:p>
      <w:pPr>
        <w:pStyle w:val="Heading2"/>
      </w:pPr>
      <w:r>
        <w:t>Corollary 3.1 (monotonicity).</w:t>
      </w:r>
    </w:p>
    <w:p>
      <w:r>
        <w:rPr>
          <w:b/>
        </w:rPr>
        <w:t xml:space="preserve">Statement. </w:t>
      </w:r>
      <w:r>
        <w:t>Within the same reduced law P_unc = 1 − exp[−L²/(D_u τ_r)], the directional predictions are</w:t>
      </w:r>
    </w:p>
    <w:p>
      <w:r>
        <w:rPr>
          <w:b/>
        </w:rPr>
        <w:t xml:space="preserve">Proof sketch. </w:t>
      </w:r>
    </w:p>
    <w:p>
      <w:pPr>
        <w:ind w:left="432"/>
      </w:pPr>
      <w:r>
        <w:rPr>
          <w:b/>
        </w:rPr>
        <w:t xml:space="preserve">• </w:t>
      </w:r>
      <w:r>
        <w:t>∂P_unc/∂D_u &lt; 0, so increasing substrate diffusion suppresses communication failure.</w:t>
      </w:r>
    </w:p>
    <w:p>
      <w:pPr>
        <w:ind w:left="432"/>
      </w:pPr>
      <w:r>
        <w:rPr>
          <w:b/>
        </w:rPr>
        <w:t xml:space="preserve">• </w:t>
      </w:r>
      <w:r>
        <w:t>∂P_unc/∂L &gt; 0, so wider spacing makes communication failure more likely.</w:t>
      </w:r>
    </w:p>
    <w:p>
      <w:pPr>
        <w:ind w:left="432"/>
      </w:pPr>
      <w:r>
        <w:rPr>
          <w:b/>
        </w:rPr>
        <w:t xml:space="preserve">• </w:t>
      </w:r>
      <w:r>
        <w:t>∂P_unc/∂τ_r &lt; 0, so slower replication suppresses communication failure.</w:t>
      </w:r>
    </w:p>
    <w:p>
      <w:pPr>
        <w:pStyle w:val="Heading1"/>
      </w:pPr>
      <w:r>
        <w:t>6. Connection to prior Gray–Scott theory</w:t>
      </w:r>
    </w:p>
    <w:p>
      <w:r>
        <w:t>The literature already establishes that replication, crowding, and spot death are central features of the Gray–Scott system. Pearson reported spots that grow, split, and decay when overcrowded [1]. Lee, McCormick, Pearson, and Swinney observed self-replicating spots experimentally in a chemical reaction–diffusion system [2]. Nishiura and Ueyama developed a geometrical framework for self-replicating dynamics [3]. Wang and Ouyang later described the chaotic spot regime statistically in terms of birth and decay rates [4].</w:t>
      </w:r>
    </w:p>
    <w:p>
      <w:r>
        <w:t>The main defensible novelty of the present note is therefore not the raw observation that diffusion or spacing matters. The narrower claim is that a single transport-versus-replication ratio may organize those effects at leading order.</w:t>
      </w:r>
    </w:p>
    <w:p>
      <w:r>
        <w:t>The strongest asymptotic connection comes from localized spot theory in two-dimensional Gray–Scott analysis by Chen and Ward [5]. In that framework, spot splitting is governed by a local instability threshold associated with spot source strength. This suggests a clean hierarchy: local theory sets the replication time τ_r, while the present reduced ratio compares that local clock against the nonlocal communication time L²/D_u.</w:t>
      </w:r>
    </w:p>
    <w:p>
      <w:pPr>
        <w:pStyle w:val="Heading1"/>
      </w:pPr>
      <w:r>
        <w:t>7. Practical utility</w:t>
      </w:r>
    </w:p>
    <w:p>
      <w:r>
        <w:t>The practical utility of the hypothesis is that it converts a qualitative pattern-formation story into a control-oriented diagnostic. If Pe_r is the right organizing variable, then diffusion can be used as an orthogonal control axis even when reaction rates are held fixed.</w:t>
      </w:r>
    </w:p>
    <w:p>
      <w:r>
        <w:t>That claim matters because standard parameter diagrams are usually presented in terms of feed and kill rates. The present framing says that one can also target the communication channel directly. In principle, a system could be pushed from a chaotic birth–death regime toward order by increasing D_u, reducing L, or increasing τ_r.</w:t>
      </w:r>
    </w:p>
    <w:p>
      <w:r>
        <w:t>The hypothesis is also useful as a data-collapse proposal. Instead of plotting order and disorder only against native Gray–Scott parameters, one can measure L and τ_r from simulations or experiments and test whether regimes collapse against Pe_r or against the refined signaling action A_sig = L²/(4 D_u τ_r) + F τ_r.</w:t>
      </w:r>
    </w:p>
    <w:p>
      <w:pPr>
        <w:pStyle w:val="Heading1"/>
      </w:pPr>
      <w:r>
        <w:t>8. Limits of the claim</w:t>
      </w:r>
    </w:p>
    <w:p>
      <w:pPr>
        <w:ind w:left="360"/>
      </w:pPr>
      <w:r>
        <w:rPr>
          <w:b/>
        </w:rPr>
        <w:t xml:space="preserve">• </w:t>
      </w:r>
      <w:r>
        <w:t>This note does not prove that the full Gray–Scott PDE is chaotic if and only if Pe_r &gt; 1.</w:t>
      </w:r>
    </w:p>
    <w:p>
      <w:pPr>
        <w:ind w:left="360"/>
      </w:pPr>
      <w:r>
        <w:rPr>
          <w:b/>
        </w:rPr>
        <w:t xml:space="preserve">• </w:t>
      </w:r>
      <w:r>
        <w:t>The quantity τ_r is not generally independent of D_u. Diffusion may influence both long-range signaling and the local instability that produces splitting.</w:t>
      </w:r>
    </w:p>
    <w:p>
      <w:pPr>
        <w:ind w:left="360"/>
      </w:pPr>
      <w:r>
        <w:rPr>
          <w:b/>
        </w:rPr>
        <w:t xml:space="preserve">• </w:t>
      </w:r>
      <w:r>
        <w:t>A single spacing L may be insufficient in strongly disordered states, where a spacing distribution may be more appropriate than one representative length.</w:t>
      </w:r>
    </w:p>
    <w:p>
      <w:pPr>
        <w:ind w:left="360"/>
      </w:pPr>
      <w:r>
        <w:rPr>
          <w:b/>
        </w:rPr>
        <w:t xml:space="preserve">• </w:t>
      </w:r>
      <w:r>
        <w:t>The refined outer problem contains the feed-relaxation factor F τ_r, so Pe_r alone may not be the best collapse variable in every regime.</w:t>
      </w:r>
    </w:p>
    <w:p>
      <w:pPr>
        <w:pStyle w:val="Heading1"/>
      </w:pPr>
      <w:r>
        <w:t>9. Testable predictions</w:t>
      </w:r>
    </w:p>
    <w:p>
      <w:pPr>
        <w:ind w:left="360"/>
      </w:pPr>
      <w:r>
        <w:rPr>
          <w:b/>
        </w:rPr>
        <w:t xml:space="preserve">• </w:t>
      </w:r>
      <w:r>
        <w:t>At fixed local chemistry, increasing D_u should shift the order–disorder boundary toward stronger replication activity.</w:t>
      </w:r>
    </w:p>
    <w:p>
      <w:pPr>
        <w:ind w:left="360"/>
      </w:pPr>
      <w:r>
        <w:rPr>
          <w:b/>
        </w:rPr>
        <w:t xml:space="preserve">• </w:t>
      </w:r>
      <w:r>
        <w:t>Data from distinct parameter sets with similar measured values of L²/(D_u τ_r) should show approximate collapse in order–disorder statistics.</w:t>
      </w:r>
    </w:p>
    <w:p>
      <w:pPr>
        <w:ind w:left="360"/>
      </w:pPr>
      <w:r>
        <w:rPr>
          <w:b/>
        </w:rPr>
        <w:t xml:space="preserve">• </w:t>
      </w:r>
      <w:r>
        <w:t>Because the ratio is quadratic in L, modest spacing changes should produce disproportionately large changes in the hazard of uncoordinated birth.</w:t>
      </w:r>
    </w:p>
    <w:p>
      <w:pPr>
        <w:ind w:left="360"/>
      </w:pPr>
      <w:r>
        <w:rPr>
          <w:b/>
        </w:rPr>
        <w:t xml:space="preserve">• </w:t>
      </w:r>
      <w:r>
        <w:t>A refined collapse against A_sig = L²/(4 D_u τ_r) + F τ_r should outperform Pe_r alone when feed relaxation is not negligible.</w:t>
      </w:r>
    </w:p>
    <w:p>
      <w:pPr>
        <w:pStyle w:val="Heading1"/>
      </w:pPr>
      <w:r>
        <w:t>10. Conclusion</w:t>
      </w:r>
    </w:p>
    <w:p>
      <w:r>
        <w:t>The central idea survives formalization. The ratio Pe_r = L²/(D_u τ_r) is not arbitrary; it emerges naturally from the substrate signaling equation and from a reduced birth-before-communication model. What is proved here is limited but solid: Pe_r is a rigorous reduced-model transport-versus-replication control parameter. What remains open is whether the full Gray–Scott PDE admits a universal sharp threshold at an order-one value of this ratio. That narrower claim is strong enough to be useful and weak enough to be honest.</w:t>
      </w:r>
    </w:p>
    <w:p>
      <w:pPr>
        <w:pStyle w:val="Heading1"/>
      </w:pPr>
      <w:r>
        <w:t>References</w:t>
      </w:r>
    </w:p>
    <w:p>
      <w:pPr>
        <w:ind w:left="288" w:hanging="288"/>
      </w:pPr>
      <w:r>
        <w:t>[1] J. E. Pearson, "Complex patterns in a simple system," Science, vol. 261, no. 5118, pp. 189–192, 1993. doi:10.1126/science.261.5118.189.</w:t>
      </w:r>
    </w:p>
    <w:p>
      <w:pPr>
        <w:ind w:left="288" w:hanging="288"/>
      </w:pPr>
      <w:r>
        <w:t>[2] K.-J. Lee, W. D. McCormick, J. E. Pearson, and H. L. Swinney, "Experimental observation of self-replicating spots in a reaction–diffusion system," Nature, vol. 369, pp. 215–218, 1994. doi:10.1038/369215a0.</w:t>
      </w:r>
    </w:p>
    <w:p>
      <w:pPr>
        <w:ind w:left="288" w:hanging="288"/>
      </w:pPr>
      <w:r>
        <w:t>[3] Y. Nishiura and D. Ueyama, "A skeleton structure of self-replicating dynamics," Hokkaido University Preprint Series in Mathematics, no. 396, 1997.</w:t>
      </w:r>
    </w:p>
    <w:p>
      <w:pPr>
        <w:ind w:left="288" w:hanging="288"/>
      </w:pPr>
      <w:r>
        <w:t>[4] H. Wang and Q. Ouyang, "Spatiotemporal chaos of self-replicating spots in reaction-diffusion systems," Physical Review Letters, vol. 99, no. 21, 214102, 2007. doi:10.1103/PhysRevLett.99.214102.</w:t>
      </w:r>
    </w:p>
    <w:p>
      <w:pPr>
        <w:ind w:left="288" w:hanging="288"/>
      </w:pPr>
      <w:r>
        <w:t>[5] W. Chen and M. J. Ward, "The stability and dynamics of localized spot patterns in the two-dimensional Gray–Scott model," SIAM Journal on Applied Dynamical Systems, vol. 10, no. 2, pp. 582–666, 2011.</w:t>
      </w:r>
    </w:p>
    <w:sectPr>
      <w:headerReference w:type="default" r:id="rId9"/>
      <w:footerReference w:type="default" r:id="rId10"/>
      <w:pgSz w:w="12240" w:h="15840"/>
      <w:pgMar w:top="1152" w:right="1368" w:bottom="1008"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595959"/>
        <w:sz w:val="18"/>
      </w:rPr>
      <w:t>Replication–Communication Competition in the Gray–Scott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eastAsia="Cambria"/>
      <w:b/>
      <w:bCs/>
      <w:color w:val="192B5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2D4A7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eastAsia="Cambria"/>
      <w:b/>
      <w:bCs/>
      <w:color w:val="2D4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192B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mbria" w:hAnsi="Cambria" w:eastAsia="Cambria"/>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ind w:left="360" w:right="360"/>
      <w:jc w:val="center"/>
    </w:pPr>
    <w:rPr>
      <w:rFonts w:ascii="Cambria" w:hAnsi="Cambria" w:eastAsia="Cambr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