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Design Notes</w:t>
      </w:r>
    </w:p>
    <w:p>
      <w:r>
        <w:t xml:space="preserve">This document describes the </w:t>
      </w:r>
      <w:r>
        <w:rPr>
          <w:b/>
        </w:rPr>
        <w:t>legacy</w:t>
      </w:r>
      <w:r>
        <w:t xml:space="preserve"> migration plan and references </w:t>
      </w:r>
      <w:r>
        <w:rPr>
          <w:highlight w:val="yellow"/>
        </w:rPr>
        <w:t>critical risks</w:t>
      </w:r>
    </w:p>
    <w:p>
      <w:r>
        <w:t>The rollout uses staged validation and change windows.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  <w:vMerge w:val="restart"/>
          </w:tcPr>
          <w:p>
            <w:r>
              <w:t>Execution + Verification</w:t>
            </w:r>
          </w:p>
        </w:tc>
        <w:tc>
          <w:tcPr>
            <w:tcW w:type="dxa" w:w="4320"/>
          </w:tcPr>
          <w:p>
            <w:r>
              <w:t>Platform Team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Docs Team</w:t>
            </w:r>
          </w:p>
        </w:tc>
      </w:tr>
    </w:tbl>
    <w:p>
      <w:r>
        <w:t>See image below for the current architecture.</w:t>
      </w:r>
    </w:p>
    <w:p>
      <w:r>
        <w:drawing>
          <wp:inline xmlns:a="http://schemas.openxmlformats.org/drawingml/2006/main" xmlns:pic="http://schemas.openxmlformats.org/drawingml/2006/picture">
            <wp:extent cx="27432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highlighted notice appears in section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