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06DAC" w14:textId="77777777" w:rsidR="004F436B" w:rsidRDefault="00000000">
      <w:pPr>
        <w:pStyle w:val="ae"/>
        <w:spacing w:beforeLines="0" w:afterLines="0"/>
        <w:ind w:left="0" w:right="0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G07</w:t>
      </w:r>
      <w:r>
        <w:rPr>
          <w:rFonts w:ascii="Times New Roman" w:hAnsi="Times New Roman" w:hint="eastAsia"/>
          <w:b/>
          <w:sz w:val="44"/>
          <w:szCs w:val="44"/>
        </w:rPr>
        <w:t>第</w:t>
      </w:r>
      <w:r>
        <w:rPr>
          <w:rFonts w:ascii="Times New Roman" w:hAnsi="Times New Roman" w:hint="eastAsia"/>
          <w:b/>
          <w:sz w:val="44"/>
          <w:szCs w:val="44"/>
        </w:rPr>
        <w:t>3</w:t>
      </w:r>
      <w:r>
        <w:rPr>
          <w:rFonts w:ascii="Times New Roman" w:hAnsi="Times New Roman" w:hint="eastAsia"/>
          <w:b/>
          <w:sz w:val="44"/>
          <w:szCs w:val="44"/>
        </w:rPr>
        <w:t>次例会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4"/>
        <w:gridCol w:w="672"/>
        <w:gridCol w:w="167"/>
        <w:gridCol w:w="3524"/>
        <w:gridCol w:w="1369"/>
        <w:gridCol w:w="3362"/>
      </w:tblGrid>
      <w:tr w:rsidR="004F436B" w14:paraId="17B90E91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75DC1907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会议基本信息</w:t>
            </w:r>
          </w:p>
        </w:tc>
      </w:tr>
      <w:tr w:rsidR="004F436B" w14:paraId="57B86626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31708F3E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 w14:paraId="46340AB3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558B5250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 w14:paraId="5CE1A65F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</w:rPr>
              <w:t>4-3-22</w:t>
            </w:r>
          </w:p>
        </w:tc>
      </w:tr>
      <w:tr w:rsidR="004F436B" w14:paraId="55853A14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58339F43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 w14:paraId="4F71B6EA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理四</w:t>
            </w:r>
            <w:r>
              <w:rPr>
                <w:rFonts w:ascii="Times New Roman" w:hAnsi="Times New Roman" w:hint="eastAsia"/>
                <w:sz w:val="21"/>
                <w:szCs w:val="21"/>
              </w:rPr>
              <w:t>220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58830639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 w14:paraId="3592A308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 w:rsidR="004F436B" w14:paraId="76C639E5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7311F8BD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 w14:paraId="138064F2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3FAD5C2D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 w14:paraId="78B5F007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高菊艺</w:t>
            </w:r>
          </w:p>
        </w:tc>
      </w:tr>
      <w:tr w:rsidR="004F436B" w14:paraId="7B0FAF07" w14:textId="77777777">
        <w:tc>
          <w:tcPr>
            <w:tcW w:w="1386" w:type="dxa"/>
            <w:gridSpan w:val="3"/>
            <w:shd w:val="clear" w:color="auto" w:fill="BFBFBF" w:themeFill="background1" w:themeFillShade="BF"/>
          </w:tcPr>
          <w:p w14:paraId="2DA8020D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 w14:paraId="216369F1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12：20</w:t>
            </w:r>
          </w:p>
        </w:tc>
        <w:tc>
          <w:tcPr>
            <w:tcW w:w="1399" w:type="dxa"/>
            <w:shd w:val="clear" w:color="auto" w:fill="BFBFBF" w:themeFill="background1" w:themeFillShade="BF"/>
          </w:tcPr>
          <w:p w14:paraId="7DE40562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 w14:paraId="2FAF81B4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13:30</w:t>
            </w:r>
          </w:p>
        </w:tc>
      </w:tr>
      <w:tr w:rsidR="004F436B" w14:paraId="4F0B8140" w14:textId="77777777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A9B2D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48DFDC19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唐泽楷、曾凡来、李迪开、郑镓豪、高菊艺</w:t>
            </w:r>
          </w:p>
        </w:tc>
      </w:tr>
      <w:tr w:rsidR="004F436B" w14:paraId="139BE188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076A49BF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会议主要内容</w:t>
            </w:r>
          </w:p>
        </w:tc>
      </w:tr>
      <w:tr w:rsidR="004F436B" w14:paraId="47E6CF88" w14:textId="77777777">
        <w:trPr>
          <w:trHeight w:val="1931"/>
        </w:trPr>
        <w:tc>
          <w:tcPr>
            <w:tcW w:w="1386" w:type="dxa"/>
            <w:gridSpan w:val="3"/>
            <w:shd w:val="clear" w:color="auto" w:fill="BFBFBF" w:themeFill="background1" w:themeFillShade="BF"/>
            <w:vAlign w:val="center"/>
          </w:tcPr>
          <w:p w14:paraId="5E27DA46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确认进度</w:t>
            </w:r>
          </w:p>
        </w:tc>
        <w:tc>
          <w:tcPr>
            <w:tcW w:w="8468" w:type="dxa"/>
            <w:gridSpan w:val="3"/>
          </w:tcPr>
          <w:p w14:paraId="39ED8E4A" w14:textId="77777777" w:rsidR="004F436B" w:rsidRDefault="00000000">
            <w:pPr>
              <w:pStyle w:val="ae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项目进度及完成时间</w:t>
            </w:r>
          </w:p>
          <w:p w14:paraId="69788512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 xml:space="preserve">   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讨论对</w:t>
            </w:r>
            <w:r>
              <w:rPr>
                <w:rFonts w:ascii="Times New Roman" w:hAnsi="Times New Roman" w:hint="eastAsia"/>
                <w:sz w:val="21"/>
                <w:szCs w:val="21"/>
              </w:rPr>
              <w:t>3.19</w:t>
            </w:r>
            <w:r>
              <w:rPr>
                <w:rFonts w:ascii="Times New Roman" w:hAnsi="Times New Roman" w:hint="eastAsia"/>
                <w:sz w:val="21"/>
                <w:szCs w:val="21"/>
              </w:rPr>
              <w:t>工作进度的监督，以及对下周</w:t>
            </w:r>
            <w:r>
              <w:rPr>
                <w:rFonts w:ascii="Times New Roman" w:hAnsi="Times New Roman" w:hint="eastAsia"/>
                <w:sz w:val="21"/>
                <w:szCs w:val="21"/>
              </w:rPr>
              <w:t>UML</w:t>
            </w:r>
            <w:r>
              <w:rPr>
                <w:rFonts w:ascii="Times New Roman" w:hAnsi="Times New Roman" w:hint="eastAsia"/>
                <w:sz w:val="21"/>
                <w:szCs w:val="21"/>
              </w:rPr>
              <w:t>汇报的进度管理，于</w:t>
            </w:r>
            <w:r>
              <w:rPr>
                <w:rFonts w:ascii="Times New Roman" w:hAnsi="Times New Roman" w:hint="eastAsia"/>
                <w:sz w:val="21"/>
                <w:szCs w:val="21"/>
              </w:rPr>
              <w:t>3.22</w:t>
            </w:r>
            <w:r>
              <w:rPr>
                <w:rFonts w:ascii="Times New Roman" w:hAnsi="Times New Roman" w:hint="eastAsia"/>
                <w:sz w:val="21"/>
                <w:szCs w:val="21"/>
              </w:rPr>
              <w:t>中午展开讨论。</w:t>
            </w:r>
          </w:p>
          <w:p w14:paraId="4F95FBB9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到目前为止，项目技术可行性，配置管理工具目录、</w:t>
            </w:r>
            <w:r>
              <w:rPr>
                <w:rFonts w:ascii="Times New Roman" w:hAnsi="Times New Roman" w:hint="eastAsia"/>
                <w:sz w:val="21"/>
                <w:szCs w:val="21"/>
              </w:rPr>
              <w:t>LOGO</w:t>
            </w:r>
            <w:r>
              <w:rPr>
                <w:rFonts w:ascii="Times New Roman" w:hAnsi="Times New Roman" w:hint="eastAsia"/>
                <w:sz w:val="21"/>
                <w:szCs w:val="21"/>
              </w:rPr>
              <w:t>设计、项目章程封面等都已完成，在进一步更改项目技术化书中，发现子项目计划中风险管理和财务管理计划不够完善，有些地方不合适，由于版本迭代导致的前言与后话相驳，有些部分存在表述不清，可行性分析需要增加内容，等一系列修改。除此之外，还包括下周的翻转课堂，目前已完成知识点的总结，相关网站的收集，</w:t>
            </w:r>
            <w:r>
              <w:rPr>
                <w:rFonts w:ascii="Times New Roman" w:hAnsi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已开始制作。</w:t>
            </w:r>
          </w:p>
        </w:tc>
      </w:tr>
      <w:tr w:rsidR="004F436B" w14:paraId="356639EB" w14:textId="77777777">
        <w:tc>
          <w:tcPr>
            <w:tcW w:w="138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B480C0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sz="4" w:space="0" w:color="auto"/>
            </w:tcBorders>
          </w:tcPr>
          <w:p w14:paraId="33BC389E" w14:textId="77777777" w:rsidR="004F436B" w:rsidRDefault="00000000">
            <w:pPr>
              <w:numPr>
                <w:ilvl w:val="0"/>
                <w:numId w:val="2"/>
              </w:numPr>
              <w:ind w:left="741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项目待解决的问题</w:t>
            </w:r>
          </w:p>
          <w:p w14:paraId="56D4CA68" w14:textId="77777777" w:rsidR="004F436B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需求工程项目计划风险管理计划的丰富和更改。</w:t>
            </w:r>
          </w:p>
          <w:p w14:paraId="3C65DCC9" w14:textId="77777777" w:rsidR="004F436B" w:rsidRDefault="00000000">
            <w:pPr>
              <w:numPr>
                <w:ilvl w:val="0"/>
                <w:numId w:val="3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需求工程项目计划财务管理计划的分配和合理化。</w:t>
            </w:r>
          </w:p>
          <w:p w14:paraId="2AD3DF2A" w14:textId="77777777" w:rsidR="004F436B" w:rsidRDefault="00000000">
            <w:pPr>
              <w:numPr>
                <w:ilvl w:val="0"/>
                <w:numId w:val="2"/>
              </w:numPr>
              <w:ind w:left="741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翻转课堂</w:t>
            </w:r>
          </w:p>
          <w:p w14:paraId="1D25276D" w14:textId="77777777" w:rsidR="004F436B" w:rsidRDefault="00000000">
            <w:pPr>
              <w:numPr>
                <w:ilvl w:val="0"/>
                <w:numId w:val="4"/>
              </w:numPr>
              <w:ind w:left="1166"/>
              <w:rPr>
                <w:rFonts w:ascii="Calibri" w:eastAsia="宋体" w:hAnsi="Calibri" w:cs="Times New Roman"/>
                <w:iCs/>
                <w:color w:val="000000"/>
                <w:szCs w:val="21"/>
              </w:rPr>
            </w:pP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PPT</w:t>
            </w:r>
            <w:r>
              <w:rPr>
                <w:rFonts w:ascii="Calibri" w:eastAsia="宋体" w:hAnsi="Calibri" w:cs="Times New Roman" w:hint="eastAsia"/>
                <w:iCs/>
                <w:color w:val="000000"/>
                <w:szCs w:val="21"/>
              </w:rPr>
              <w:t>的完成和更改，讲述准备。</w:t>
            </w:r>
          </w:p>
        </w:tc>
      </w:tr>
      <w:tr w:rsidR="004F436B" w14:paraId="0A26BA44" w14:textId="77777777">
        <w:tc>
          <w:tcPr>
            <w:tcW w:w="9854" w:type="dxa"/>
            <w:gridSpan w:val="6"/>
            <w:shd w:val="clear" w:color="auto" w:fill="BFBFBF" w:themeFill="background1" w:themeFillShade="BF"/>
          </w:tcPr>
          <w:p w14:paraId="2DC8C47D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8"/>
                <w:szCs w:val="28"/>
              </w:rPr>
              <w:t>解决方案</w:t>
            </w:r>
          </w:p>
        </w:tc>
      </w:tr>
      <w:tr w:rsidR="004F436B" w14:paraId="1F4F1A27" w14:textId="77777777">
        <w:trPr>
          <w:trHeight w:val="291"/>
        </w:trPr>
        <w:tc>
          <w:tcPr>
            <w:tcW w:w="534" w:type="dxa"/>
            <w:vMerge w:val="restart"/>
            <w:shd w:val="clear" w:color="auto" w:fill="BFBFBF" w:themeFill="background1" w:themeFillShade="BF"/>
            <w:textDirection w:val="tbRlV"/>
            <w:vAlign w:val="center"/>
          </w:tcPr>
          <w:p w14:paraId="0AC487CA" w14:textId="77777777" w:rsidR="004F436B" w:rsidRDefault="00000000">
            <w:pPr>
              <w:pStyle w:val="ae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解决方案</w:t>
            </w:r>
          </w:p>
        </w:tc>
        <w:tc>
          <w:tcPr>
            <w:tcW w:w="680" w:type="dxa"/>
            <w:shd w:val="clear" w:color="auto" w:fill="BFBFBF" w:themeFill="background1" w:themeFillShade="BF"/>
          </w:tcPr>
          <w:p w14:paraId="309A15FE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FBFBF" w:themeFill="background1" w:themeFillShade="BF"/>
          </w:tcPr>
          <w:p w14:paraId="224A814D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内容</w:t>
            </w:r>
          </w:p>
        </w:tc>
      </w:tr>
      <w:tr w:rsidR="004F436B" w14:paraId="38E9CE1C" w14:textId="77777777">
        <w:tc>
          <w:tcPr>
            <w:tcW w:w="534" w:type="dxa"/>
            <w:vMerge/>
          </w:tcPr>
          <w:p w14:paraId="38AAFFF8" w14:textId="77777777" w:rsidR="004F436B" w:rsidRDefault="004F436B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132A909B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 w14:paraId="62FA5709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项目开发计划的完善</w:t>
            </w:r>
            <w:r>
              <w:rPr>
                <w:rFonts w:ascii="Times New Roman" w:hAnsi="Times New Roman" w:hint="eastAsia"/>
                <w:sz w:val="21"/>
                <w:szCs w:val="21"/>
              </w:rPr>
              <w:t>:</w:t>
            </w:r>
            <w:r>
              <w:rPr>
                <w:rFonts w:ascii="Times New Roman" w:hAnsi="Times New Roman" w:hint="eastAsia"/>
                <w:sz w:val="21"/>
                <w:szCs w:val="21"/>
              </w:rPr>
              <w:t>通过借鉴和参考，查阅大量资料将子计划进一步更改以及合理化。</w:t>
            </w:r>
          </w:p>
        </w:tc>
      </w:tr>
      <w:tr w:rsidR="004F436B" w14:paraId="1AA5B781" w14:textId="77777777">
        <w:tc>
          <w:tcPr>
            <w:tcW w:w="534" w:type="dxa"/>
            <w:vMerge/>
          </w:tcPr>
          <w:p w14:paraId="7C94D9D7" w14:textId="77777777" w:rsidR="004F436B" w:rsidRDefault="004F436B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75760CDB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2</w:t>
            </w:r>
          </w:p>
        </w:tc>
        <w:tc>
          <w:tcPr>
            <w:tcW w:w="8640" w:type="dxa"/>
            <w:gridSpan w:val="4"/>
          </w:tcPr>
          <w:p w14:paraId="4CD82239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项目计划书的更改：将现有的对项目的思考重新落实到项目计划中，检查项目计划书中其他部分是否出现表述不清，或者由于版本迭代导致的前言与后话相驳。</w:t>
            </w:r>
          </w:p>
        </w:tc>
      </w:tr>
      <w:tr w:rsidR="004F436B" w14:paraId="59C01E4F" w14:textId="77777777">
        <w:tc>
          <w:tcPr>
            <w:tcW w:w="534" w:type="dxa"/>
            <w:vMerge/>
          </w:tcPr>
          <w:p w14:paraId="627D9EB0" w14:textId="77777777" w:rsidR="004F436B" w:rsidRDefault="004F436B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 w14:paraId="083DA314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3</w:t>
            </w:r>
          </w:p>
        </w:tc>
        <w:tc>
          <w:tcPr>
            <w:tcW w:w="8640" w:type="dxa"/>
            <w:gridSpan w:val="4"/>
          </w:tcPr>
          <w:p w14:paraId="3FA5E146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要求美观大方，内容有详有略，符合思考逻辑。</w:t>
            </w:r>
          </w:p>
        </w:tc>
      </w:tr>
      <w:tr w:rsidR="004F436B" w14:paraId="347E6A59" w14:textId="77777777">
        <w:trPr>
          <w:cantSplit/>
          <w:trHeight w:val="1134"/>
        </w:trPr>
        <w:tc>
          <w:tcPr>
            <w:tcW w:w="534" w:type="dxa"/>
            <w:shd w:val="clear" w:color="auto" w:fill="BFBFBF" w:themeFill="background1" w:themeFillShade="BF"/>
            <w:textDirection w:val="tbRlV"/>
            <w:vAlign w:val="center"/>
          </w:tcPr>
          <w:p w14:paraId="3A579B69" w14:textId="77777777" w:rsidR="004F436B" w:rsidRDefault="00000000">
            <w:pPr>
              <w:pStyle w:val="ae"/>
              <w:spacing w:beforeLines="0" w:afterLines="0" w:line="240" w:lineRule="auto"/>
              <w:ind w:left="113" w:right="113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 w:hint="eastAsia"/>
                <w:b/>
                <w:sz w:val="21"/>
                <w:szCs w:val="21"/>
              </w:rPr>
              <w:t>未来安排</w:t>
            </w:r>
          </w:p>
        </w:tc>
        <w:tc>
          <w:tcPr>
            <w:tcW w:w="9320" w:type="dxa"/>
            <w:gridSpan w:val="5"/>
          </w:tcPr>
          <w:p w14:paraId="4DF1D566" w14:textId="77777777" w:rsidR="004F436B" w:rsidRDefault="00000000">
            <w:pPr>
              <w:pStyle w:val="ae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准备</w:t>
            </w:r>
            <w:r>
              <w:rPr>
                <w:rFonts w:ascii="Times New Roman" w:hAnsi="Times New Roman" w:hint="eastAsia"/>
                <w:sz w:val="21"/>
                <w:szCs w:val="21"/>
              </w:rPr>
              <w:t>UML</w:t>
            </w:r>
            <w:r>
              <w:rPr>
                <w:rFonts w:ascii="Times New Roman" w:hAnsi="Times New Roman" w:hint="eastAsia"/>
                <w:sz w:val="21"/>
                <w:szCs w:val="21"/>
              </w:rPr>
              <w:t>翻转课堂</w:t>
            </w:r>
          </w:p>
          <w:p w14:paraId="5194841E" w14:textId="77777777" w:rsidR="004F436B" w:rsidRDefault="00000000">
            <w:pPr>
              <w:pStyle w:val="ae"/>
              <w:numPr>
                <w:ilvl w:val="0"/>
                <w:numId w:val="5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PPT</w:t>
            </w:r>
            <w:r>
              <w:rPr>
                <w:rFonts w:ascii="Times New Roman" w:hAnsi="Times New Roman" w:hint="eastAsia"/>
                <w:sz w:val="21"/>
                <w:szCs w:val="21"/>
              </w:rPr>
              <w:t>更改</w:t>
            </w:r>
          </w:p>
          <w:p w14:paraId="499D597A" w14:textId="77777777" w:rsidR="004F436B" w:rsidRDefault="00000000">
            <w:pPr>
              <w:pStyle w:val="ae"/>
              <w:numPr>
                <w:ilvl w:val="0"/>
                <w:numId w:val="5"/>
              </w:numPr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 w:hint="eastAsia"/>
                <w:sz w:val="21"/>
                <w:szCs w:val="21"/>
              </w:rPr>
              <w:t>演讲人准备</w:t>
            </w:r>
          </w:p>
        </w:tc>
      </w:tr>
    </w:tbl>
    <w:p w14:paraId="70C2A7AE" w14:textId="77777777" w:rsidR="004F436B" w:rsidRDefault="00000000">
      <w:pPr>
        <w:pStyle w:val="ae"/>
        <w:spacing w:beforeLines="0" w:afterLines="0"/>
        <w:ind w:left="0" w:right="0"/>
        <w:jc w:val="right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Cs/>
          <w:sz w:val="21"/>
          <w:szCs w:val="21"/>
        </w:rPr>
        <w:t>会议应到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人，实到</w:t>
      </w:r>
      <w:r>
        <w:rPr>
          <w:rFonts w:ascii="Times New Roman" w:hAnsi="Times New Roman" w:hint="eastAsia"/>
          <w:bCs/>
          <w:sz w:val="21"/>
          <w:szCs w:val="21"/>
        </w:rPr>
        <w:t>5</w:t>
      </w:r>
      <w:r>
        <w:rPr>
          <w:rFonts w:ascii="Times New Roman" w:hAnsi="Times New Roman" w:hint="eastAsia"/>
          <w:bCs/>
          <w:sz w:val="21"/>
          <w:szCs w:val="21"/>
        </w:rPr>
        <w:t>人</w:t>
      </w:r>
    </w:p>
    <w:sectPr w:rsidR="004F43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D6E09C" w14:textId="77777777" w:rsidR="00F0770D" w:rsidRDefault="00F0770D">
      <w:r>
        <w:separator/>
      </w:r>
    </w:p>
  </w:endnote>
  <w:endnote w:type="continuationSeparator" w:id="0">
    <w:p w14:paraId="601C3468" w14:textId="77777777" w:rsidR="00F0770D" w:rsidRDefault="00F0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C593E" w14:textId="77777777" w:rsidR="00352A3C" w:rsidRDefault="00352A3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B53C7" w14:textId="77777777" w:rsidR="004F436B" w:rsidRDefault="00000000">
    <w:pPr>
      <w:pStyle w:val="a7"/>
      <w:ind w:firstLineChars="98" w:firstLine="177"/>
      <w:rPr>
        <w:rFonts w:ascii="Times New Roman" w:eastAsia="宋体" w:hAnsi="Times New Roman" w:cs="Times New Roman"/>
        <w:b/>
      </w:rPr>
    </w:pPr>
    <w:r>
      <w:rPr>
        <w:rFonts w:ascii="Times New Roman" w:eastAsia="宋体" w:hAnsi="Times New Roman" w:cs="Times New Roman" w:hint="eastAsia"/>
        <w:b/>
      </w:rPr>
      <w:t>X</w:t>
    </w:r>
    <w:r>
      <w:rPr>
        <w:rFonts w:ascii="Times New Roman" w:eastAsia="宋体" w:hAnsi="Times New Roman" w:cs="Times New Roman"/>
        <w:b/>
      </w:rPr>
      <w:t>XX</w:t>
    </w:r>
    <w:r>
      <w:rPr>
        <w:rFonts w:ascii="Times New Roman" w:eastAsia="宋体" w:hAnsi="Times New Roman" w:cs="Times New Roman" w:hint="eastAsia"/>
        <w:b/>
      </w:rPr>
      <w:t>有限公司</w:t>
    </w:r>
  </w:p>
  <w:p w14:paraId="1139D396" w14:textId="77777777" w:rsidR="004F436B" w:rsidRDefault="00000000">
    <w:pPr>
      <w:pStyle w:val="a7"/>
    </w:pPr>
    <w:r>
      <w:rPr>
        <w:rFonts w:ascii="Times New Roman" w:eastAsia="宋体" w:hAnsi="Times New Roman" w:cs="Times New Roman"/>
        <w:b/>
      </w:rPr>
      <w:t>XXX Co.,Ltd</w:t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tab/>
    </w:r>
    <w:r>
      <w:rPr>
        <w:rFonts w:ascii="Times New Roman" w:eastAsia="宋体" w:hAnsi="Times New Roman" w:cs="Times New Roman"/>
        <w:b/>
      </w:rPr>
      <w:fldChar w:fldCharType="begin"/>
    </w:r>
    <w:r>
      <w:rPr>
        <w:rFonts w:ascii="Times New Roman" w:eastAsia="宋体" w:hAnsi="Times New Roman" w:cs="Times New Roman"/>
        <w:b/>
      </w:rPr>
      <w:instrText>PAGE  \* Arabic  \* MERGEFORMAT</w:instrText>
    </w:r>
    <w:r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>
      <w:rPr>
        <w:rFonts w:ascii="Times New Roman" w:eastAsia="宋体" w:hAnsi="Times New Roman" w:cs="Times New Roman"/>
        <w:b/>
      </w:rPr>
      <w:fldChar w:fldCharType="end"/>
    </w:r>
    <w:r>
      <w:rPr>
        <w:rFonts w:ascii="Times New Roman" w:eastAsia="宋体" w:hAnsi="Times New Roman" w:cs="Times New Roman"/>
        <w:b/>
      </w:rPr>
      <w:t xml:space="preserve"> / </w:t>
    </w:r>
    <w:fldSimple w:instr="NUMPAGES  \* Arabic  \* MERGEFORMAT">
      <w:r>
        <w:rPr>
          <w:rFonts w:ascii="Times New Roman" w:eastAsia="宋体" w:hAnsi="Times New Roman" w:cs="Times New Roman"/>
          <w:b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D55E3" w14:textId="77777777" w:rsidR="00352A3C" w:rsidRDefault="00352A3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B6263" w14:textId="77777777" w:rsidR="00F0770D" w:rsidRDefault="00F0770D">
      <w:r>
        <w:separator/>
      </w:r>
    </w:p>
  </w:footnote>
  <w:footnote w:type="continuationSeparator" w:id="0">
    <w:p w14:paraId="47AB5BCA" w14:textId="77777777" w:rsidR="00F0770D" w:rsidRDefault="00F07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DF35B" w14:textId="77777777" w:rsidR="00352A3C" w:rsidRDefault="00352A3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2EE8B" w14:textId="409AB579" w:rsidR="004F436B" w:rsidRDefault="00352A3C">
    <w:pPr>
      <w:pStyle w:val="a9"/>
      <w:jc w:val="left"/>
    </w:pPr>
    <w:r>
      <w:rPr>
        <w:noProof/>
      </w:rPr>
      <w:drawing>
        <wp:inline distT="0" distB="0" distL="0" distR="0" wp14:anchorId="786822D3" wp14:editId="4E0CFB2D">
          <wp:extent cx="1577340" cy="579120"/>
          <wp:effectExtent l="0" t="0" r="0" b="0"/>
          <wp:docPr id="198005666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985" b="34299"/>
                  <a:stretch/>
                </pic:blipFill>
                <pic:spPr bwMode="auto">
                  <a:xfrm>
                    <a:off x="0" y="0"/>
                    <a:ext cx="1577340" cy="5791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8AA0B" w14:textId="77777777" w:rsidR="00352A3C" w:rsidRDefault="00352A3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3144F5A"/>
    <w:multiLevelType w:val="multilevel"/>
    <w:tmpl w:val="93144F5A"/>
    <w:lvl w:ilvl="0">
      <w:start w:val="1"/>
      <w:numFmt w:val="decimal"/>
      <w:lvlText w:val="%1)"/>
      <w:lvlJc w:val="left"/>
      <w:pPr>
        <w:ind w:left="2430" w:hanging="420"/>
      </w:p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1" w15:restartNumberingAfterBreak="0">
    <w:nsid w:val="C0E6DB32"/>
    <w:multiLevelType w:val="multilevel"/>
    <w:tmpl w:val="C0E6DB32"/>
    <w:lvl w:ilvl="0">
      <w:start w:val="1"/>
      <w:numFmt w:val="decimal"/>
      <w:lvlText w:val="%1)"/>
      <w:lvlJc w:val="left"/>
      <w:pPr>
        <w:ind w:left="2430" w:hanging="420"/>
      </w:pPr>
    </w:lvl>
    <w:lvl w:ilvl="1">
      <w:start w:val="1"/>
      <w:numFmt w:val="lowerLetter"/>
      <w:lvlText w:val="%2)"/>
      <w:lvlJc w:val="left"/>
      <w:pPr>
        <w:ind w:left="2850" w:hanging="420"/>
      </w:pPr>
    </w:lvl>
    <w:lvl w:ilvl="2">
      <w:start w:val="1"/>
      <w:numFmt w:val="lowerRoman"/>
      <w:lvlText w:val="%3."/>
      <w:lvlJc w:val="right"/>
      <w:pPr>
        <w:ind w:left="3270" w:hanging="420"/>
      </w:pPr>
    </w:lvl>
    <w:lvl w:ilvl="3">
      <w:start w:val="1"/>
      <w:numFmt w:val="decimal"/>
      <w:lvlText w:val="%4."/>
      <w:lvlJc w:val="left"/>
      <w:pPr>
        <w:ind w:left="3690" w:hanging="420"/>
      </w:pPr>
    </w:lvl>
    <w:lvl w:ilvl="4">
      <w:start w:val="1"/>
      <w:numFmt w:val="lowerLetter"/>
      <w:lvlText w:val="%5)"/>
      <w:lvlJc w:val="left"/>
      <w:pPr>
        <w:ind w:left="4110" w:hanging="420"/>
      </w:pPr>
    </w:lvl>
    <w:lvl w:ilvl="5">
      <w:start w:val="1"/>
      <w:numFmt w:val="lowerRoman"/>
      <w:lvlText w:val="%6."/>
      <w:lvlJc w:val="right"/>
      <w:pPr>
        <w:ind w:left="4530" w:hanging="420"/>
      </w:pPr>
    </w:lvl>
    <w:lvl w:ilvl="6">
      <w:start w:val="1"/>
      <w:numFmt w:val="decimal"/>
      <w:lvlText w:val="%7."/>
      <w:lvlJc w:val="left"/>
      <w:pPr>
        <w:ind w:left="4950" w:hanging="420"/>
      </w:pPr>
    </w:lvl>
    <w:lvl w:ilvl="7">
      <w:start w:val="1"/>
      <w:numFmt w:val="lowerLetter"/>
      <w:lvlText w:val="%8)"/>
      <w:lvlJc w:val="left"/>
      <w:pPr>
        <w:ind w:left="5370" w:hanging="420"/>
      </w:pPr>
    </w:lvl>
    <w:lvl w:ilvl="8">
      <w:start w:val="1"/>
      <w:numFmt w:val="lowerRoman"/>
      <w:lvlText w:val="%9."/>
      <w:lvlJc w:val="right"/>
      <w:pPr>
        <w:ind w:left="5790" w:hanging="420"/>
      </w:pPr>
    </w:lvl>
  </w:abstractNum>
  <w:abstractNum w:abstractNumId="2" w15:restartNumberingAfterBreak="0">
    <w:nsid w:val="4BD90C43"/>
    <w:multiLevelType w:val="singleLevel"/>
    <w:tmpl w:val="4BD90C4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779C5F24"/>
    <w:multiLevelType w:val="multilevel"/>
    <w:tmpl w:val="779C5F2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D42647"/>
    <w:multiLevelType w:val="multilevel"/>
    <w:tmpl w:val="78D42647"/>
    <w:lvl w:ilvl="0">
      <w:start w:val="1"/>
      <w:numFmt w:val="decimal"/>
      <w:lvlText w:val="%1."/>
      <w:lvlJc w:val="left"/>
      <w:pPr>
        <w:ind w:left="201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2430" w:hanging="420"/>
      </w:pPr>
    </w:lvl>
    <w:lvl w:ilvl="2">
      <w:start w:val="1"/>
      <w:numFmt w:val="lowerRoman"/>
      <w:lvlText w:val="%3."/>
      <w:lvlJc w:val="right"/>
      <w:pPr>
        <w:ind w:left="2850" w:hanging="420"/>
      </w:pPr>
    </w:lvl>
    <w:lvl w:ilvl="3">
      <w:start w:val="1"/>
      <w:numFmt w:val="decimal"/>
      <w:lvlText w:val="%4."/>
      <w:lvlJc w:val="left"/>
      <w:pPr>
        <w:ind w:left="3270" w:hanging="420"/>
      </w:pPr>
    </w:lvl>
    <w:lvl w:ilvl="4">
      <w:start w:val="1"/>
      <w:numFmt w:val="lowerLetter"/>
      <w:lvlText w:val="%5)"/>
      <w:lvlJc w:val="left"/>
      <w:pPr>
        <w:ind w:left="3690" w:hanging="420"/>
      </w:pPr>
    </w:lvl>
    <w:lvl w:ilvl="5">
      <w:start w:val="1"/>
      <w:numFmt w:val="lowerRoman"/>
      <w:lvlText w:val="%6."/>
      <w:lvlJc w:val="right"/>
      <w:pPr>
        <w:ind w:left="4110" w:hanging="420"/>
      </w:pPr>
    </w:lvl>
    <w:lvl w:ilvl="6">
      <w:start w:val="1"/>
      <w:numFmt w:val="decimal"/>
      <w:lvlText w:val="%7."/>
      <w:lvlJc w:val="left"/>
      <w:pPr>
        <w:ind w:left="4530" w:hanging="420"/>
      </w:pPr>
    </w:lvl>
    <w:lvl w:ilvl="7">
      <w:start w:val="1"/>
      <w:numFmt w:val="lowerLetter"/>
      <w:lvlText w:val="%8)"/>
      <w:lvlJc w:val="left"/>
      <w:pPr>
        <w:ind w:left="4950" w:hanging="420"/>
      </w:pPr>
    </w:lvl>
    <w:lvl w:ilvl="8">
      <w:start w:val="1"/>
      <w:numFmt w:val="lowerRoman"/>
      <w:lvlText w:val="%9."/>
      <w:lvlJc w:val="right"/>
      <w:pPr>
        <w:ind w:left="5370" w:hanging="420"/>
      </w:pPr>
    </w:lvl>
  </w:abstractNum>
  <w:num w:numId="1" w16cid:durableId="2084375940">
    <w:abstractNumId w:val="3"/>
  </w:num>
  <w:num w:numId="2" w16cid:durableId="1652127000">
    <w:abstractNumId w:val="4"/>
  </w:num>
  <w:num w:numId="3" w16cid:durableId="1048458003">
    <w:abstractNumId w:val="0"/>
  </w:num>
  <w:num w:numId="4" w16cid:durableId="531770994">
    <w:abstractNumId w:val="1"/>
  </w:num>
  <w:num w:numId="5" w16cid:durableId="1775638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52A3C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4F436B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0770D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24B13E39"/>
    <w:rsid w:val="2DF738E6"/>
    <w:rsid w:val="3EE21BC2"/>
    <w:rsid w:val="5C000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717B3"/>
  <w15:docId w15:val="{041EA440-2678-4824-A3B4-C2DFE0C2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autoRedefine/>
    <w:qFormat/>
    <w:pPr>
      <w:ind w:left="840" w:firstLine="480"/>
    </w:pPr>
    <w:rPr>
      <w:rFonts w:ascii="Arial" w:eastAsia="宋体" w:hAnsi="Arial" w:cs="Times New Roman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  <w:pPr>
      <w:tabs>
        <w:tab w:val="left" w:pos="420"/>
        <w:tab w:val="right" w:leader="dot" w:pos="9628"/>
      </w:tabs>
    </w:pPr>
  </w:style>
  <w:style w:type="paragraph" w:styleId="ab">
    <w:name w:val="List"/>
    <w:basedOn w:val="a"/>
    <w:pPr>
      <w:ind w:left="200" w:hangingChars="200" w:hanging="200"/>
    </w:pPr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table" w:styleId="ac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autoRedefine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autoRedefine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paragraph" w:customStyle="1" w:styleId="ae">
    <w:name w:val="主题"/>
    <w:basedOn w:val="a"/>
    <w:autoRedefine/>
    <w:qFormat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f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autoRedefine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autoRedefine/>
    <w:uiPriority w:val="9"/>
    <w:qFormat/>
    <w:rPr>
      <w:b/>
      <w:bCs/>
      <w:sz w:val="32"/>
      <w:szCs w:val="32"/>
    </w:rPr>
  </w:style>
  <w:style w:type="paragraph" w:customStyle="1" w:styleId="Body1">
    <w:name w:val="*Body 1"/>
    <w:autoRedefine/>
    <w:qFormat/>
    <w:pPr>
      <w:spacing w:before="120" w:after="120" w:line="360" w:lineRule="auto"/>
    </w:pPr>
    <w:rPr>
      <w:rFonts w:ascii="Arial" w:hAnsi="Arial"/>
      <w:sz w:val="24"/>
      <w:lang w:eastAsia="en-US"/>
    </w:rPr>
  </w:style>
  <w:style w:type="character" w:customStyle="1" w:styleId="40">
    <w:name w:val="标题 4 字符"/>
    <w:basedOn w:val="a0"/>
    <w:link w:val="4"/>
    <w:autoRedefine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正文文本缩进 字符"/>
    <w:basedOn w:val="a0"/>
    <w:link w:val="a3"/>
    <w:autoRedefine/>
    <w:qFormat/>
    <w:rPr>
      <w:rFonts w:ascii="Arial" w:eastAsia="宋体" w:hAnsi="Arial" w:cs="Times New Roman"/>
      <w:sz w:val="24"/>
      <w:szCs w:val="24"/>
    </w:rPr>
  </w:style>
  <w:style w:type="character" w:customStyle="1" w:styleId="af0">
    <w:name w:val="模板注释"/>
    <w:basedOn w:val="a0"/>
    <w:rPr>
      <w:rFonts w:ascii="宋体" w:hAnsi="宋体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泽楷 唐</cp:lastModifiedBy>
  <cp:revision>2</cp:revision>
  <dcterms:created xsi:type="dcterms:W3CDTF">2024-03-24T09:56:00Z</dcterms:created>
  <dcterms:modified xsi:type="dcterms:W3CDTF">2024-03-24T09:56:00Z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