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Short-window motor-imagery EEG decoding with training-time privileged information and validation-controlled routing</w:t>
      </w:r>
    </w:p>
    <w:p>
      <w:pPr>
        <w:jc w:val="center"/>
      </w:pPr>
      <w:r>
        <w:rPr>
          <w:i/>
        </w:rPr>
        <w:t>MBEC-oriented manuscript draft | Authors and affiliations to be inserted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Abstract</w:t>
      </w:r>
    </w:p>
    <w:p>
      <w:pPr>
        <w:spacing w:after="100" w:line="276" w:lineRule="auto"/>
      </w:pPr>
      <w:r>
        <w:rPr>
          <w:rFonts w:ascii="Arial" w:hAnsi="Arial"/>
          <w:sz w:val="19"/>
        </w:rPr>
        <w:t>Motor-imagery EEG (MI-EEG) decoders often use several seconds of post-cue data, which improves evidence accumulation but delays a decision. We investigated whether a student decoder restricted to the first 2 s can benefit from information available only during training. Across nine participants and five random seeds, validation-controlled routing on BCI Competition IV-2a achieved 59.31% accuracy versus 56.72% for fixed 2-s cross-entropy training (paired t-test p=0.0055; Wilcoxon p=0.0078). On BCI Competition IV-2b, adaptive Riemannian knowledge distillation with spatial supervision achieved 77.12%, compared with 76.34% for fixed 2-s cross-entropy. Teachers were removed at inference. These findings support training-time privileged information for earlier MI-EEG decisions, while showing that gains depend on task complexity and spatial information.</w:t>
      </w:r>
    </w:p>
    <w:p>
      <w:pPr>
        <w:spacing w:after="100" w:line="276" w:lineRule="auto"/>
      </w:pPr>
      <w:r>
        <w:rPr>
          <w:rFonts w:ascii="Arial" w:hAnsi="Arial"/>
          <w:sz w:val="19"/>
        </w:rPr>
        <w:t>Keywords: motor imagery; electroencephalography; brain-computer interface; short-window decoding; knowledge distillation; Riemannian geometry; EEGNet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1 Introduction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Longer MI-EEG windows accumulate more evidence but delay a BCI decision. We address the engineering question of how much decoding performance can be retained when the deployed classifier is restricted to the first 2 s after the cue. The proposed framework uses 4-s information only during training and removes teachers from inference.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central hypothesis is bounded: training-time long-window information and validation-controlled strategy selection can improve a latency-matched 2-s student for difficult participant-dependent MI decoding, but need not replace complete-window decoding.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2 Materials and methods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2.1 Datasets and protocol</w:t>
      </w:r>
    </w:p>
    <w:p>
      <w:pPr>
        <w:spacing w:after="100" w:line="276" w:lineRule="auto"/>
      </w:pPr>
      <w:r>
        <w:rPr>
          <w:rFonts w:ascii="Arial" w:hAnsi="Arial"/>
          <w:sz w:val="19"/>
        </w:rPr>
        <w:t>Signals were retrieved through MOABB. The training session was split into stratified training and validation subsets (80/20); the evaluation session was held out as the only test set. Filtering used 8-32 Hz, and all 0-4 s signals were sampled at 250 Hz. Five seeds controlled the internal split and optimization.</w:t>
      </w:r>
    </w:p>
    <w:p>
      <w:pPr>
        <w:jc w:val="left"/>
      </w:pPr>
      <w:r>
        <w:rPr>
          <w:rFonts w:ascii="Arial" w:hAnsi="Arial"/>
          <w:b/>
          <w:sz w:val="17"/>
        </w:rPr>
        <w:t>Table 1 | Datasets and cross-session evaluation protocol.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Classes</w:t>
            </w:r>
          </w:p>
        </w:tc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Channels</w:t>
            </w:r>
          </w:p>
        </w:tc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Rate</w:t>
            </w:r>
          </w:p>
        </w:tc>
        <w:tc>
          <w:tcPr>
            <w:tcW w:type="dxa" w:w="54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Protocol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BCI IV-2a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250 Hz</w:t>
            </w:r>
          </w:p>
        </w:tc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Train session -&gt; train/validation; eval session -&gt; test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BCI IV-2b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250 Hz</w:t>
            </w:r>
          </w:p>
        </w:tc>
        <w:tc>
          <w:tcPr>
            <w:tcW w:type="dxa" w:w="5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Train session -&gt; train/validation; eval session -&gt; test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2.2 Training-time privileged information and routing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deployed student was Compact EEGNet with a 2-s input. In IV-2a, frozen 4-s Compact EEGNet and Riemannian teachers supplied soft labels. In IV-2b, a 4-s Riemannian teacher supplied soft labels and a covariance-derived spatial target regularized the pre-depthwise student representation. Candidate routes were selected only from validation performance; the evaluation session was not used to fit teachers, select checkpoints, or select a route.</w:t>
      </w:r>
    </w:p>
    <w:p>
      <w:r>
        <w:drawing>
          <wp:inline xmlns:a="http://schemas.openxmlformats.org/drawingml/2006/main" xmlns:pic="http://schemas.openxmlformats.org/drawingml/2006/picture">
            <wp:extent cx="6126480" cy="2331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3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1 | Training-time privileged information and deployment-time short-window inference. The 4-s teachers and covariance targets are available only during training. Deployment uses the 2-s student and, for an adaptive candidate, an optional detector.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3 Results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3.1 Routing improved short-window decoding on IV-2a</w:t>
      </w:r>
    </w:p>
    <w:p>
      <w:pPr>
        <w:spacing w:after="100" w:line="276" w:lineRule="auto"/>
      </w:pPr>
      <w:r>
        <w:rPr>
          <w:rFonts w:ascii="Arial" w:hAnsi="Arial"/>
          <w:sz w:val="19"/>
        </w:rPr>
        <w:t>Validation-controlled routing achieved 59.31% accuracy on IV-2a, compared with 56.72% for fixed 2-s CE (+2.59 percentage points). The gain was observed in eight of nine participants after seed averaging and was significant (paired t-test p=0.0055; Wilcoxon p=0.0078). The routing-versus-fixed-dual difference was not significant, indicating that the main advantage is participant-specific selection among candidates rather than universal dominance of one route.</w:t>
      </w:r>
    </w:p>
    <w:p>
      <w:r>
        <w:drawing>
          <wp:inline xmlns:a="http://schemas.openxmlformats.org/drawingml/2006/main" xmlns:pic="http://schemas.openxmlformats.org/drawingml/2006/picture">
            <wp:extent cx="6126480" cy="3003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rimary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2 | Main short-window evidence. (a) IV-2a routing significantly improved 2-s accuracy over fixed CE. (b) IV-2b showed smaller gains and retained a complete-window advantage. Values are five-seed means across nine participants; the figure does not compare seed standard deviations across different statistical summaries.</w:t>
      </w:r>
    </w:p>
    <w:p>
      <w:pPr>
        <w:jc w:val="left"/>
      </w:pPr>
      <w:r>
        <w:rPr>
          <w:rFonts w:ascii="Arial" w:hAnsi="Arial"/>
          <w:b/>
          <w:sz w:val="17"/>
        </w:rPr>
        <w:t>Table 2 | Main short-window results.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3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7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144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29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00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0.5672 +/- 0.0093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0.5550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0.4229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dual teacher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0.5847 +/- 0.0125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0.5724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0.4463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0.5931 +/- 0.0114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0.5842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0.4575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0.5836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0.5749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0.4448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2-s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0.7634 +/- 0.0120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0.7567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0.5268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Fixed Riemann KD + spatial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0.7660 +/- 0.0142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0.7627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0.5319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0.7675 +/- 0.0031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0.7637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0.5349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Riemann KD + spatial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0.7712 +/- 0.0152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0.7681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0.5424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2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0.7701 +/- 0.0103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0.5402</w:t>
            </w:r>
          </w:p>
        </w:tc>
      </w:tr>
      <w:t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4 s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0.7806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0.7763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0.5612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3.2 Cross-dataset boundary and Riemannian spatial ablation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On IV-2b, adaptive Riemannian KD plus spatial supervision achieved 77.12%, while global routing reached 77.01% and fixed CE reached 76.34%. The gain was smaller than on IV-2a, consistent with the lower channel count and binary task. A matched auxiliary-loss ablation showed the highest mean at moderate joint weighting (0.10+0.10), but this ablation is descriptive because paired tests against CE have not yet been recomputed for the final spatial-supervision matrix.</w:t>
      </w:r>
    </w:p>
    <w:p>
      <w:r>
        <w:drawing>
          <wp:inline xmlns:a="http://schemas.openxmlformats.org/drawingml/2006/main" xmlns:pic="http://schemas.openxmlformats.org/drawingml/2006/picture">
            <wp:extent cx="6126480" cy="2919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patial_ab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3 | IV-2b Riemannian KD and spatial-supervision ablation. Values are participant-level means after five-seed averaging; error values are reported in Table 5.</w:t>
      </w:r>
    </w:p>
    <w:p>
      <w:pPr>
        <w:jc w:val="left"/>
      </w:pPr>
      <w:r>
        <w:rPr>
          <w:rFonts w:ascii="Arial" w:hAnsi="Arial"/>
          <w:b/>
          <w:sz w:val="17"/>
        </w:rPr>
        <w:t>Table 5 | IV-2b Riemannian KD and spatial-loss ablation at 8-32 Hz.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09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108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Total weight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80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+ spatial (0.05 + 0.05)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0.10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0.7589 +/- 0.1420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0.7525 +/- 0.1494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0.5177 +/- 0.2840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+ spatial (0.10 + 0.10)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0.7648 +/- 0.1354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0.7617 +/- 0.1373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0.5296 +/- 0.2709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KD only (0.20 + 0.00)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0.7608 +/- 0.1373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0.7543 +/- 0.1458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0.5216 +/- 0.2745</w:t>
            </w:r>
          </w:p>
        </w:tc>
      </w:tr>
      <w:t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Spatial only (0.00 + 0.20)</w:t>
            </w:r>
          </w:p>
        </w:tc>
        <w:tc>
          <w:tcPr>
            <w:tcW w:type="dxa" w:w="10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0.20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0.7614 +/- 0.1421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0.7551 +/- 0.1499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0.5229 +/- 0.2841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3.3 Reproduced 2-s baseline comparison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proposed 2-s strategies were compared with reproduced shallow, deep, classical, Riemannian, and EEGNetV4 baselines. On IV-2a, routing exceeded the reproduced ShallowConvNet and DeepConvNet baselines. On IV-2b, adaptive Riemann KD plus spatial supervision was close to EEGNetV4 and exceeded the shallow/deep 2-s baselines. These neural baseline comparisons are descriptive pending paired statistical tests.</w:t>
      </w:r>
    </w:p>
    <w:p>
      <w:r>
        <w:drawing>
          <wp:inline xmlns:a="http://schemas.openxmlformats.org/drawingml/2006/main" xmlns:pic="http://schemas.openxmlformats.org/drawingml/2006/picture">
            <wp:extent cx="6126480" cy="33952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short_window_bas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b/>
          <w:sz w:val="17"/>
        </w:rPr>
        <w:t>Figure 4 | Reproduced latency-matched 2-s baselines. Blue bars indicate the proposed short-window strategy for each dataset; gray bars are external baselines under the same cross-session setting.</w:t>
      </w:r>
    </w:p>
    <w:p>
      <w:pPr>
        <w:jc w:val="left"/>
      </w:pPr>
      <w:r>
        <w:rPr>
          <w:rFonts w:ascii="Arial" w:hAnsi="Arial"/>
          <w:b/>
          <w:sz w:val="17"/>
        </w:rPr>
        <w:t>Table 3 | Reproduced 2-s external baselines.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2-s comparator</w:t>
            </w:r>
          </w:p>
        </w:tc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2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0.5187 +/- 0.0026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0.5113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0.3582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0.4863 +/- 0.0131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0.4553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0.3151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0.5530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0.5638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0.5517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0.4184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0.5694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0.5809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--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Validation-controlled routing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0.5931 +/- 0.0114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0.5842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0.4575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0.7477 +/- 0.0073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0.7443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0.4954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0.7487 +/- 0.0118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0.7429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0.4973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0.7136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0.7076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0.4272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0.7258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0.7227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0.4515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0.7159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0.7080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0.4317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0.7714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0.7676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Adaptive Riemann KD + spatial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0.7712 +/- 0.0152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0.7681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0.5424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3.4 Complete-window context</w:t>
      </w:r>
    </w:p>
    <w:p>
      <w:pPr>
        <w:spacing w:after="100" w:line="276" w:lineRule="auto"/>
      </w:pPr>
      <w:r>
        <w:rPr>
          <w:rFonts w:ascii="Arial" w:hAnsi="Arial"/>
          <w:sz w:val="19"/>
        </w:rPr>
        <w:t>Four-second models remained strong references. The short-window contribution should therefore be read as preserving useful decoding performance under an earlier-decision constraint, rather than as surpassing all complete-window methods.</w:t>
      </w:r>
    </w:p>
    <w:p>
      <w:pPr>
        <w:jc w:val="left"/>
      </w:pPr>
      <w:r>
        <w:rPr>
          <w:rFonts w:ascii="Arial" w:hAnsi="Arial"/>
          <w:b/>
          <w:sz w:val="17"/>
        </w:rPr>
        <w:t>Table 4 | Four-second reference context.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9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4-s reference</w:t>
            </w:r>
          </w:p>
        </w:tc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51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22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Kappa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0.5038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0.4923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0.3384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0.4710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0.4372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0.2947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0.5836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0.5749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0.4448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0.6025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0.5894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0.4700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0.6525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0.6420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0.5367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0.6029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0.5726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0.4705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0.6296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0.6154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0.5061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ShallowConvNet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0.7666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0.7619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0.5332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DeepConvNet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0.7741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0.7639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0.5482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Compact EEGNet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0.7806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0.7763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0.5612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EEGNetV4 CE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0.7895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0.7852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0.5790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Riemann TS-LogReg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0.7297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0.7189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0.4593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0.7303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0.7197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0.4606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2b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FBCSP-LDA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0.7587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0.7540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4"/>
              </w:rPr>
              <w:t>0.5173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4 Discussion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main result is a significant improvement in IV-2a short-window decoding without carrying the 4-s teachers into inference. The IV-2a/IV-2b contrast suggests that the utility of privileged long-window information is task-dependent: it is more useful when class structure and spatial covariance are richer. The study does not claim that 2 s replaces 4 s. It instead establishes a controlled route toward earlier decisions when the available evidence is restricted.</w:t>
      </w:r>
    </w:p>
    <w:p>
      <w:pPr>
        <w:spacing w:after="100" w:line="276" w:lineRule="auto"/>
      </w:pPr>
      <w:r>
        <w:rPr>
          <w:rFonts w:ascii="Arial" w:hAnsi="Arial"/>
          <w:sz w:val="19"/>
        </w:rPr>
        <w:t>The principal limitation is route-selection stability. Although the evaluation session was isolated, routing used one internal validation partition per seed. A future out-of-fold or inner K-fold routing analysis should test whether the selected route remains stable across partitions. The work is also participant-dependent and does not establish cross-participant transfer or asynchronous online performance.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5 Conclusion</w:t>
      </w:r>
    </w:p>
    <w:p>
      <w:pPr>
        <w:spacing w:after="100" w:line="276" w:lineRule="auto"/>
      </w:pPr>
      <w:r>
        <w:rPr>
          <w:rFonts w:ascii="Arial" w:hAnsi="Arial"/>
          <w:sz w:val="19"/>
        </w:rPr>
        <w:t>Training-time privileged information and validation-controlled strategy selection improved 2-s MI-EEG decoding on the four-class IV-2a dataset, while Riemannian spatial supervision produced a smaller positive effect on IV-2b. The results support short-window decoding as an earlier-decision engineering strategy with explicit dataset-dependent limits.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Declarations</w:t>
      </w:r>
    </w:p>
    <w:p>
      <w:pPr>
        <w:spacing w:after="100" w:line="276" w:lineRule="auto"/>
      </w:pPr>
      <w:r>
        <w:rPr>
          <w:rFonts w:ascii="Arial" w:hAnsi="Arial"/>
          <w:sz w:val="19"/>
        </w:rPr>
        <w:t>Data availability: BCI Competition IV-2a and IV-2b are available through MOABB as BNCI2014_001 and BNCI2014_004. Code availability: the release should include environment versions, result CSV files, source-data tables, and all commands used for the reported matrices. Competing interests: none declared.</w:t>
      </w:r>
    </w:p>
    <w:p>
      <w:pPr>
        <w:spacing w:before="200" w:after="60"/>
      </w:pPr>
      <w:r>
        <w:rPr>
          <w:rFonts w:ascii="Arial" w:hAnsi="Arial"/>
          <w:b/>
          <w:color w:val="1F4E79"/>
          <w:sz w:val="26"/>
        </w:rPr>
        <w:t>References</w:t>
      </w:r>
    </w:p>
    <w:p>
      <w:pPr>
        <w:spacing w:after="40"/>
      </w:pPr>
      <w:r>
        <w:rPr>
          <w:rFonts w:ascii="Arial" w:hAnsi="Arial"/>
          <w:sz w:val="15"/>
        </w:rPr>
        <w:t>参考文献保留原始英文书目信息。</w:t>
      </w:r>
    </w:p>
    <w:p>
      <w:pPr>
        <w:spacing w:after="40"/>
      </w:pPr>
      <w:r>
        <w:rPr>
          <w:rFonts w:ascii="Arial" w:hAnsi="Arial"/>
          <w:sz w:val="15"/>
        </w:rPr>
        <w:t>1.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40"/>
      </w:pPr>
      <w:r>
        <w:rPr>
          <w:rFonts w:ascii="Arial" w:hAnsi="Arial"/>
          <w:sz w:val="15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40"/>
      </w:pPr>
      <w:r>
        <w:rPr>
          <w:rFonts w:ascii="Arial" w:hAnsi="Arial"/>
          <w:sz w:val="15"/>
        </w:rPr>
        <w:t>3.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40"/>
      </w:pPr>
      <w:r>
        <w:rPr>
          <w:rFonts w:ascii="Arial" w:hAnsi="Arial"/>
          <w:sz w:val="15"/>
        </w:rPr>
        <w:t>4.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40"/>
      </w:pPr>
      <w:r>
        <w:rPr>
          <w:rFonts w:ascii="Arial" w:hAnsi="Arial"/>
          <w:sz w:val="15"/>
        </w:rPr>
        <w:t>5.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40"/>
      </w:pPr>
      <w:r>
        <w:rPr>
          <w:rFonts w:ascii="Arial" w:hAnsi="Arial"/>
          <w:sz w:val="15"/>
        </w:rPr>
        <w:t>6. Brunner C, Leeb R, Muller-Putz G, Schlogl A, Pfurtscheller G (2010) BCI Competition 2008: Graz data set A. Institute for Knowledge Discovery, Graz University of Technology</w:t>
      </w:r>
    </w:p>
    <w:p>
      <w:pPr>
        <w:spacing w:after="40"/>
      </w:pPr>
      <w:r>
        <w:rPr>
          <w:rFonts w:ascii="Arial" w:hAnsi="Arial"/>
          <w:sz w:val="15"/>
        </w:rPr>
        <w:t>7. Chen Y, Wiesel A, Eldar YC, Hero AO (2010) Shrinkage algorithms for MMSE covariance estimation. IEEE Trans Signal Process 58:5016-5029. https://doi.org/10.1109/TSP.2010.2053029</w:t>
      </w:r>
    </w:p>
    <w:p>
      <w:pPr>
        <w:spacing w:after="40"/>
      </w:pPr>
      <w:r>
        <w:rPr>
          <w:rFonts w:ascii="Arial" w:hAnsi="Arial"/>
          <w:sz w:val="15"/>
        </w:rPr>
        <w:t>8. Congedo M, Barachant A, Bhatia R (2017) Riemannian geometry for EEG-based brain-computer interfaces; a primer and a review. BCI 4:1-39. https://doi.org/10.1080/2326263X.2017.1297192</w:t>
      </w:r>
    </w:p>
    <w:p>
      <w:pPr>
        <w:spacing w:after="40"/>
      </w:pPr>
      <w:r>
        <w:rPr>
          <w:rFonts w:ascii="Arial" w:hAnsi="Arial"/>
          <w:sz w:val="15"/>
        </w:rPr>
        <w:t>9.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40"/>
      </w:pPr>
      <w:r>
        <w:rPr>
          <w:rFonts w:ascii="Arial" w:hAnsi="Arial"/>
          <w:sz w:val="15"/>
        </w:rPr>
        <w:t>10. Ding Y, Robinson N, Zeng Q et al (2022) TSception: a deep learning framework for emotion detection using EEG. In: Proc Int Joint Conf Neural Networks (IJCNN), pp 1-8. https://doi.org/10.1109/IJCNN55064.2022.9967692</w:t>
      </w:r>
    </w:p>
    <w:p>
      <w:pPr>
        <w:spacing w:after="40"/>
      </w:pPr>
      <w:r>
        <w:rPr>
          <w:rFonts w:ascii="Arial" w:hAnsi="Arial"/>
          <w:sz w:val="15"/>
        </w:rPr>
        <w:t>11. Hinton G, Vinyals O, Dean J (2015) Distilling the knowledge in a neural network. arXiv:1503.02531. https://doi.org/10.48550/arXiv.1503.02531</w:t>
      </w:r>
    </w:p>
    <w:p>
      <w:pPr>
        <w:spacing w:after="40"/>
      </w:pPr>
      <w:r>
        <w:rPr>
          <w:rFonts w:ascii="Arial" w:hAnsi="Arial"/>
          <w:sz w:val="15"/>
        </w:rPr>
        <w:t>12. Jayaram V, Barachant A (2018) MOABB: trustworthy algorithm benchmarking for BCIs. J Neural Eng 15:066011. https://doi.org/10.1088/1741-2552/aadea0</w:t>
      </w:r>
    </w:p>
    <w:p>
      <w:pPr>
        <w:spacing w:after="40"/>
      </w:pPr>
      <w:r>
        <w:rPr>
          <w:rFonts w:ascii="Arial" w:hAnsi="Arial"/>
          <w:sz w:val="15"/>
        </w:rPr>
        <w:t>13. Kalunga EK, Chevallier S, Barre Q, Djouani K, Monacelli E, Hamam Y (2016) Online SSVEP-based BCI using Riemannian geometry. Neurocomputing 191:55-68. https://doi.org/10.1016/j.neucom.2016.01.007</w:t>
      </w:r>
    </w:p>
    <w:p>
      <w:pPr>
        <w:spacing w:after="40"/>
      </w:pPr>
      <w:r>
        <w:rPr>
          <w:rFonts w:ascii="Arial" w:hAnsi="Arial"/>
          <w:sz w:val="15"/>
        </w:rPr>
        <w:t>14.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40"/>
      </w:pPr>
      <w:r>
        <w:rPr>
          <w:rFonts w:ascii="Arial" w:hAnsi="Arial"/>
          <w:sz w:val="15"/>
        </w:rPr>
        <w:t>15.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40"/>
      </w:pPr>
      <w:r>
        <w:rPr>
          <w:rFonts w:ascii="Arial" w:hAnsi="Arial"/>
          <w:sz w:val="15"/>
        </w:rPr>
        <w:t>16. Lotte F, Jeunet C (2015) Towards improved BCI spellers using a co-adaptive calibration of the P300 speller with RSVP and visual feedback. J Neural Eng 12:066007</w:t>
      </w:r>
    </w:p>
    <w:p>
      <w:pPr>
        <w:spacing w:after="40"/>
      </w:pPr>
      <w:r>
        <w:rPr>
          <w:rFonts w:ascii="Arial" w:hAnsi="Arial"/>
          <w:sz w:val="15"/>
        </w:rPr>
        <w:t>17. Mane R, Chew E, Chua K et al (2021) FBCNet: a multi-view convolutional neural network for brain-computer interface. arXiv:2104.01233</w:t>
      </w:r>
    </w:p>
    <w:p>
      <w:pPr>
        <w:spacing w:after="40"/>
      </w:pPr>
      <w:r>
        <w:rPr>
          <w:rFonts w:ascii="Arial" w:hAnsi="Arial"/>
          <w:sz w:val="15"/>
        </w:rPr>
        <w:t>18. Meisheri H, Ramrao N, Mitra S, Saha S (2022) Common spatial pattern for EEG based brain-computer interface: an implementation review. In: Proc Int Conf Comput Intell, pp 1-6</w:t>
      </w:r>
    </w:p>
    <w:p>
      <w:pPr>
        <w:spacing w:after="40"/>
      </w:pPr>
      <w:r>
        <w:rPr>
          <w:rFonts w:ascii="Arial" w:hAnsi="Arial"/>
          <w:sz w:val="15"/>
        </w:rPr>
        <w:t>19. Pfurtscheller G, Neuper C (2001) Motor imagery and direct brain-computer communication. Proc IEEE 89:1123-1134. https://doi.org/10.1109/5.939829</w:t>
      </w:r>
    </w:p>
    <w:p>
      <w:pPr>
        <w:spacing w:after="40"/>
      </w:pPr>
      <w:r>
        <w:rPr>
          <w:rFonts w:ascii="Arial" w:hAnsi="Arial"/>
          <w:sz w:val="15"/>
        </w:rPr>
        <w:t>20.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40"/>
      </w:pPr>
      <w:r>
        <w:rPr>
          <w:rFonts w:ascii="Arial" w:hAnsi="Arial"/>
          <w:sz w:val="15"/>
        </w:rPr>
        <w:t>21.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40"/>
      </w:pPr>
      <w:r>
        <w:rPr>
          <w:rFonts w:ascii="Arial" w:hAnsi="Arial"/>
          <w:sz w:val="15"/>
        </w:rPr>
        <w:t>22.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40"/>
      </w:pPr>
      <w:r>
        <w:rPr>
          <w:rFonts w:ascii="Arial" w:hAnsi="Arial"/>
          <w:sz w:val="15"/>
        </w:rPr>
        <w:t>23. Tangermann M, Muller KR, Aertsen A et al (2012) Review of the BCI Competition IV. Front Neurosci 6:55. https://doi.org/10.3389/fnins.2012.00055</w:t>
      </w:r>
    </w:p>
    <w:p>
      <w:pPr>
        <w:spacing w:after="40"/>
      </w:pPr>
      <w:r>
        <w:rPr>
          <w:rFonts w:ascii="Arial" w:hAnsi="Arial"/>
          <w:sz w:val="15"/>
        </w:rPr>
        <w:t>24. Tang J, Liu C, Li Q (2020) EEG feature distillation for motor imagery classification. In: Proc IEEE Int Conf Bioinformatics and Biomedicine (BIBM), pp 1680-1683</w:t>
      </w:r>
    </w:p>
    <w:p>
      <w:pPr>
        <w:spacing w:after="40"/>
      </w:pPr>
      <w:r>
        <w:rPr>
          <w:rFonts w:ascii="Arial" w:hAnsi="Arial"/>
          <w:sz w:val="15"/>
        </w:rPr>
        <w:t>25. Wang J, Li S, Li R, Shi Y (2022) EEG motor imagery classification with multi-view convolutional neural network. Biomed Signal Process Control 77:103778</w:t>
      </w:r>
    </w:p>
    <w:p>
      <w:pPr>
        <w:spacing w:after="40"/>
      </w:pPr>
      <w:r>
        <w:rPr>
          <w:rFonts w:ascii="Arial" w:hAnsi="Arial"/>
          <w:sz w:val="15"/>
        </w:rPr>
        <w:t>26. Wei Q, Wang Y, Gao X, Gao S (2022) Amplitude and phase coupling in steady-state motion visual evoked potentials for BCI. J Neural Eng 19:026002</w:t>
      </w:r>
    </w:p>
    <w:p>
      <w:pPr>
        <w:spacing w:after="40"/>
      </w:pPr>
      <w:r>
        <w:rPr>
          <w:rFonts w:ascii="Arial" w:hAnsi="Arial"/>
          <w:sz w:val="15"/>
        </w:rPr>
        <w:t>27. Yger F, Berar M, Lotte F (2016) Riemannian approaches in brain-computer interfaces: a review. IEEE Trans Neural Syst Rehabil Eng 25:1753-1762. https://doi.org/10.1109/TNSRE.2016.2627016</w:t>
      </w:r>
    </w:p>
    <w:p>
      <w:pPr>
        <w:spacing w:after="40"/>
      </w:pPr>
      <w:r>
        <w:rPr>
          <w:rFonts w:ascii="Arial" w:hAnsi="Arial"/>
          <w:sz w:val="15"/>
        </w:rPr>
        <w:t>28. Zhang L, Wang J, Chen B et al (2023) Temporal convolutional network for motor imagery EEG decoding with attention mechanism. Biomed Signal Process Control 81:104432</w:t>
      </w:r>
    </w:p>
    <w:p>
      <w:pPr>
        <w:spacing w:after="40"/>
      </w:pPr>
      <w:r>
        <w:rPr>
          <w:rFonts w:ascii="Arial" w:hAnsi="Arial"/>
          <w:sz w:val="15"/>
        </w:rPr>
        <w:t>29. Zhang X, Yao L, Wang X, Monaghan J, McAlpine D (2022) A survey on deep learning-based non-invasive brain signals: recent advances and new frontiers. J Neural Eng 18:031002</w:t>
      </w:r>
    </w:p>
    <w:p>
      <w:pPr>
        <w:spacing w:after="40"/>
      </w:pPr>
      <w:r>
        <w:rPr>
          <w:rFonts w:ascii="Arial" w:hAnsi="Arial"/>
          <w:sz w:val="15"/>
        </w:rPr>
        <w:t>30. Zuo C, Jin J, Yin Y et al (2023) Novel hybrid deep learning model for motor imagery EEG classification based on capsule network. Cogn Neurodyn 17:107-121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