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Short-window motor-imagery EEG decoding with training-time privileged information and validation-controlled routing</w:t>
      </w:r>
    </w:p>
    <w:p>
      <w:pPr>
        <w:jc w:val="center"/>
      </w:pPr>
      <w:r>
        <w:rPr>
          <w:i/>
        </w:rPr>
        <w:t>MBEC-oriented manuscript draft | Authors and affiliations to be inserted</w:t>
      </w:r>
    </w:p>
    <w:p>
      <w:pPr>
        <w:spacing w:before="200" w:after="60"/>
      </w:pPr>
      <w:r>
        <w:rPr>
          <w:rFonts w:ascii="Arial" w:hAnsi="Arial"/>
          <w:b/>
          <w:color w:val="1F4E79"/>
          <w:sz w:val="26"/>
        </w:rPr>
        <w:t>Abstract</w:t>
      </w:r>
    </w:p>
    <w:p>
      <w:pPr>
        <w:spacing w:after="100" w:line="276" w:lineRule="auto"/>
      </w:pPr>
      <w:r>
        <w:rPr>
          <w:rFonts w:ascii="Arial" w:hAnsi="Arial"/>
          <w:sz w:val="19"/>
        </w:rPr>
        <w:t>Motor-imagery EEG (MI-EEG) decoders often use several seconds of post-cue data, which improves evidence accumulation but delays a decision. We investigated whether a student decoder restricted to the first 2 s can benefit from information available only during training. Across nine participants and five random seeds, validation-controlled routing on BCI Competition IV-2a achieved 59.31% accuracy versus 56.72% for fixed 2-s cross-entropy training (paired t-test p=0.0055; Wilcoxon p=0.0078). On BCI Competition IV-2b, adaptive Riemannian knowledge distillation with spatial supervision achieved 77.12%, compared with 76.34% for fixed 2-s cross-entropy. Teachers were removed at inference. These findings support training-time privileged information for earlier MI-EEG decisions, while showing that gains depend on task complexity and spatial information.</w:t>
      </w:r>
    </w:p>
    <w:p>
      <w:pPr>
        <w:spacing w:after="100" w:line="276" w:lineRule="auto"/>
      </w:pPr>
      <w:r>
        <w:rPr>
          <w:rFonts w:ascii="Arial" w:hAnsi="Arial"/>
          <w:sz w:val="19"/>
        </w:rPr>
        <w:t>Keywords: motor imagery; electroencephalography; brain-computer interface; short-window decoding; knowledge distillation; Riemannian geometry; EEGNet</w:t>
      </w:r>
    </w:p>
    <w:p>
      <w:pPr>
        <w:spacing w:before="200" w:after="60"/>
      </w:pPr>
      <w:r>
        <w:rPr>
          <w:rFonts w:ascii="Arial" w:hAnsi="Arial"/>
          <w:b/>
          <w:color w:val="1F4E79"/>
          <w:sz w:val="26"/>
        </w:rPr>
        <w:t>1 Introduction</w:t>
      </w:r>
    </w:p>
    <w:p>
      <w:pPr>
        <w:spacing w:after="100" w:line="276" w:lineRule="auto"/>
      </w:pPr>
      <w:r>
        <w:rPr>
          <w:rFonts w:ascii="Arial" w:hAnsi="Arial"/>
          <w:sz w:val="19"/>
        </w:rPr>
        <w:t>Longer MI-EEG windows accumulate more evidence but delay a BCI decision. We address the engineering question of how much decoding performance can be retained when the deployed classifier is restricted to the first 2 s after the cue. The proposed framework uses 4-s information only during training and removes teachers from inference.</w:t>
      </w:r>
    </w:p>
    <w:p>
      <w:pPr>
        <w:spacing w:after="100" w:line="276" w:lineRule="auto"/>
      </w:pPr>
      <w:r>
        <w:rPr>
          <w:rFonts w:ascii="Arial" w:hAnsi="Arial"/>
          <w:sz w:val="19"/>
        </w:rPr>
        <w:t>The central hypothesis is bounded: training-time long-window information and validation-controlled strategy selection can improve a latency-matched 2-s student for difficult participant-dependent MI decoding, but need not replace complete-window decoding.</w:t>
      </w:r>
    </w:p>
    <w:p>
      <w:pPr>
        <w:spacing w:before="200" w:after="60"/>
      </w:pPr>
      <w:r>
        <w:rPr>
          <w:rFonts w:ascii="Arial" w:hAnsi="Arial"/>
          <w:b/>
          <w:color w:val="1F4E79"/>
          <w:sz w:val="26"/>
        </w:rPr>
        <w:t>2 Materials and methods</w:t>
      </w:r>
    </w:p>
    <w:p>
      <w:pPr>
        <w:spacing w:before="140" w:after="60"/>
      </w:pPr>
      <w:r>
        <w:rPr>
          <w:rFonts w:ascii="Arial" w:hAnsi="Arial"/>
          <w:b/>
          <w:color w:val="1F4E79"/>
          <w:sz w:val="22"/>
        </w:rPr>
        <w:t>2.1 Datasets and protocol</w:t>
      </w:r>
    </w:p>
    <w:p>
      <w:pPr>
        <w:spacing w:after="100" w:line="276" w:lineRule="auto"/>
      </w:pPr>
      <w:r>
        <w:rPr>
          <w:rFonts w:ascii="Arial" w:hAnsi="Arial"/>
          <w:sz w:val="19"/>
        </w:rPr>
        <w:t>Signals were retrieved through MOABB. The training session was split into stratified training and validation subsets (80/20); the evaluation session was held out as the only test set. Filtering used 8-32 Hz, and all 0-4 s signals were sampled at 250 Hz. Five seeds controlled the internal split and optimization.</w:t>
      </w:r>
    </w:p>
    <w:p>
      <w:pPr>
        <w:jc w:val="left"/>
      </w:pPr>
      <w:r>
        <w:rPr>
          <w:rFonts w:ascii="Arial" w:hAnsi="Arial"/>
          <w:b/>
          <w:sz w:val="17"/>
        </w:rPr>
        <w:t>Table 1 | Datasets and cross-session evaluation protocol.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1656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Dataset</w:t>
            </w:r>
          </w:p>
        </w:tc>
        <w:tc>
          <w:tcPr>
            <w:tcW w:type="dxa" w:w="7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Classes</w:t>
            </w:r>
          </w:p>
        </w:tc>
        <w:tc>
          <w:tcPr>
            <w:tcW w:type="dxa" w:w="936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Channels</w:t>
            </w:r>
          </w:p>
        </w:tc>
        <w:tc>
          <w:tcPr>
            <w:tcW w:type="dxa" w:w="936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Rate</w:t>
            </w:r>
          </w:p>
        </w:tc>
        <w:tc>
          <w:tcPr>
            <w:tcW w:type="dxa" w:w="5400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Protocol</w:t>
            </w:r>
          </w:p>
        </w:tc>
      </w:tr>
      <w:tr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BCI IV-2a</w:t>
            </w:r>
          </w:p>
        </w:tc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250 Hz</w:t>
            </w:r>
          </w:p>
        </w:tc>
        <w:tc>
          <w:tcPr>
            <w:tcW w:type="dxa" w:w="5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Train session -&gt; train/validation; eval session -&gt; test</w:t>
            </w:r>
          </w:p>
        </w:tc>
      </w:tr>
      <w:tr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BCI IV-2b</w:t>
            </w:r>
          </w:p>
        </w:tc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250 Hz</w:t>
            </w:r>
          </w:p>
        </w:tc>
        <w:tc>
          <w:tcPr>
            <w:tcW w:type="dxa" w:w="5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Train session -&gt; train/validation; eval session -&gt; test</w:t>
            </w:r>
          </w:p>
        </w:tc>
      </w:tr>
    </w:tbl>
    <w:p/>
    <w:p>
      <w:pPr>
        <w:spacing w:before="140" w:after="60"/>
      </w:pPr>
      <w:r>
        <w:rPr>
          <w:rFonts w:ascii="Arial" w:hAnsi="Arial"/>
          <w:b/>
          <w:color w:val="1F4E79"/>
          <w:sz w:val="22"/>
        </w:rPr>
        <w:t>2.2 Training-time privileged information and routing</w:t>
      </w:r>
    </w:p>
    <w:p>
      <w:pPr>
        <w:spacing w:after="100" w:line="276" w:lineRule="auto"/>
      </w:pPr>
      <w:r>
        <w:rPr>
          <w:rFonts w:ascii="Arial" w:hAnsi="Arial"/>
          <w:sz w:val="19"/>
        </w:rPr>
        <w:t>The deployed student was Compact EEGNet with a 2-s input. In IV-2a, frozen 4-s Compact EEGNet and Riemannian teachers supplied soft labels. In IV-2b, a 4-s Riemannian teacher supplied soft labels and a covariance-derived spatial target regularized the pre-depthwise student representation. Candidate routes were selected only from validation performance; the evaluation session was not used to fit teachers, select checkpoints, or select a route.</w:t>
      </w:r>
    </w:p>
    <w:p>
      <w:r>
        <w:drawing>
          <wp:inline xmlns:a="http://schemas.openxmlformats.org/drawingml/2006/main" xmlns:pic="http://schemas.openxmlformats.org/drawingml/2006/picture">
            <wp:extent cx="6126480" cy="23318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31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rial" w:hAnsi="Arial"/>
          <w:b/>
          <w:sz w:val="17"/>
        </w:rPr>
        <w:t>Figure 1 | Training-time privileged information and deployment-time short-window inference. The 4-s teachers and covariance targets are available only during training. Deployment uses the 2-s student and, for an adaptive candidate, an optional detector.</w:t>
      </w:r>
    </w:p>
    <w:p>
      <w:pPr>
        <w:spacing w:before="200" w:after="60"/>
      </w:pPr>
      <w:r>
        <w:rPr>
          <w:rFonts w:ascii="Arial" w:hAnsi="Arial"/>
          <w:b/>
          <w:color w:val="1F4E79"/>
          <w:sz w:val="26"/>
        </w:rPr>
        <w:t>3 Results</w:t>
      </w:r>
    </w:p>
    <w:p>
      <w:pPr>
        <w:spacing w:before="140" w:after="60"/>
      </w:pPr>
      <w:r>
        <w:rPr>
          <w:rFonts w:ascii="Arial" w:hAnsi="Arial"/>
          <w:b/>
          <w:color w:val="1F4E79"/>
          <w:sz w:val="22"/>
        </w:rPr>
        <w:t>3.1 Routing improved short-window decoding on IV-2a</w:t>
      </w:r>
    </w:p>
    <w:p>
      <w:pPr>
        <w:spacing w:after="100" w:line="276" w:lineRule="auto"/>
      </w:pPr>
      <w:r>
        <w:rPr>
          <w:rFonts w:ascii="Arial" w:hAnsi="Arial"/>
          <w:sz w:val="19"/>
        </w:rPr>
        <w:t>Validation-controlled routing achieved 59.31% accuracy on IV-2a, compared with 56.72% for fixed 2-s CE (+2.59 percentage points). The gain was observed in eight of nine participants after seed averaging and was significant (paired t-test p=0.0055; Wilcoxon p=0.0078). The routing-versus-fixed-dual difference was not significant, indicating that the main advantage is participant-specific selection among candidates rather than universal dominance of one route.</w:t>
      </w:r>
    </w:p>
    <w:p>
      <w:r>
        <w:drawing>
          <wp:inline xmlns:a="http://schemas.openxmlformats.org/drawingml/2006/main" xmlns:pic="http://schemas.openxmlformats.org/drawingml/2006/picture">
            <wp:extent cx="6126480" cy="30035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primary_resul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03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rial" w:hAnsi="Arial"/>
          <w:b/>
          <w:sz w:val="17"/>
        </w:rPr>
        <w:t>Figure 2 | Main short-window evidence. (a) IV-2a routing significantly improved 2-s accuracy over fixed CE. (b) IV-2b showed smaller gains and retained a complete-window advantage. Values are five-seed means across nine participants; the figure does not compare seed standard deviations across different statistical summaries.</w:t>
      </w:r>
    </w:p>
    <w:p>
      <w:pPr>
        <w:jc w:val="left"/>
      </w:pPr>
      <w:r>
        <w:rPr>
          <w:rFonts w:ascii="Arial" w:hAnsi="Arial"/>
          <w:b/>
          <w:sz w:val="17"/>
        </w:rPr>
        <w:t>Table 2 | Main short-window results.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7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Dataset</w:t>
            </w:r>
          </w:p>
        </w:tc>
        <w:tc>
          <w:tcPr>
            <w:tcW w:type="dxa" w:w="331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7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Input</w:t>
            </w:r>
          </w:p>
        </w:tc>
        <w:tc>
          <w:tcPr>
            <w:tcW w:type="dxa" w:w="1440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Accuracy</w:t>
            </w:r>
          </w:p>
        </w:tc>
        <w:tc>
          <w:tcPr>
            <w:tcW w:type="dxa" w:w="1296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Macro-F1</w:t>
            </w:r>
          </w:p>
        </w:tc>
        <w:tc>
          <w:tcPr>
            <w:tcW w:type="dxa" w:w="100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Kappa</w:t>
            </w:r>
          </w:p>
        </w:tc>
      </w:tr>
      <w:t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2a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Fixed 2-s CE</w:t>
            </w:r>
          </w:p>
        </w:tc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2 s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0.5672 +/- 0.0093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0.5550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0.4229</w:t>
            </w:r>
          </w:p>
        </w:tc>
      </w:tr>
      <w:t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2a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Fixed 2-s dual teacher</w:t>
            </w:r>
          </w:p>
        </w:tc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2 s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0.5847 +/- 0.0125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0.5724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0.4463</w:t>
            </w:r>
          </w:p>
        </w:tc>
      </w:tr>
      <w:t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2a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Validation-controlled routing</w:t>
            </w:r>
          </w:p>
        </w:tc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2 s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0.5931 +/- 0.0114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0.5842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0.4575</w:t>
            </w:r>
          </w:p>
        </w:tc>
      </w:tr>
      <w:t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2a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Compact EEGNet CE</w:t>
            </w:r>
          </w:p>
        </w:tc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4 s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0.5836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0.5749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0.4448</w:t>
            </w:r>
          </w:p>
        </w:tc>
      </w:tr>
      <w:t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2b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Fixed 2-s CE</w:t>
            </w:r>
          </w:p>
        </w:tc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2 s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0.7634 +/- 0.0120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0.7567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0.5268</w:t>
            </w:r>
          </w:p>
        </w:tc>
      </w:tr>
      <w:t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2b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Fixed Riemann KD + spatial</w:t>
            </w:r>
          </w:p>
        </w:tc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2 s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0.7660 +/- 0.0142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0.7627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0.5319</w:t>
            </w:r>
          </w:p>
        </w:tc>
      </w:tr>
      <w:t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2b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Adaptive CE</w:t>
            </w:r>
          </w:p>
        </w:tc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2 s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0.7675 +/- 0.0031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0.7637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0.5349</w:t>
            </w:r>
          </w:p>
        </w:tc>
      </w:tr>
      <w:t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2b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Adaptive Riemann KD + spatial</w:t>
            </w:r>
          </w:p>
        </w:tc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2 s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0.7712 +/- 0.0152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0.7681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0.5424</w:t>
            </w:r>
          </w:p>
        </w:tc>
      </w:tr>
      <w:t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2b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Validation-controlled routing</w:t>
            </w:r>
          </w:p>
        </w:tc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2 s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0.7701 +/- 0.0103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0.7665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0.5402</w:t>
            </w:r>
          </w:p>
        </w:tc>
      </w:tr>
      <w:t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2b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Compact EEGNet CE</w:t>
            </w:r>
          </w:p>
        </w:tc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4 s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0.7806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0.7763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0.5612</w:t>
            </w:r>
          </w:p>
        </w:tc>
      </w:tr>
    </w:tbl>
    <w:p/>
    <w:p>
      <w:pPr>
        <w:spacing w:before="140" w:after="60"/>
      </w:pPr>
      <w:r>
        <w:rPr>
          <w:rFonts w:ascii="Arial" w:hAnsi="Arial"/>
          <w:b/>
          <w:color w:val="1F4E79"/>
          <w:sz w:val="22"/>
        </w:rPr>
        <w:t>3.2 Cross-dataset boundary and Riemannian spatial ablation</w:t>
      </w:r>
    </w:p>
    <w:p>
      <w:pPr>
        <w:spacing w:after="100" w:line="276" w:lineRule="auto"/>
      </w:pPr>
      <w:r>
        <w:rPr>
          <w:rFonts w:ascii="Arial" w:hAnsi="Arial"/>
          <w:sz w:val="19"/>
        </w:rPr>
        <w:t>On IV-2b, adaptive Riemannian KD plus spatial supervision achieved 77.12%, while global routing reached 77.01% and fixed CE reached 76.34%. The gain was smaller than on IV-2a, consistent with the lower channel count and binary task. A matched auxiliary-loss ablation showed the highest mean at moderate joint weighting (0.10+0.10), but this ablation is descriptive because paired tests against CE have not yet been recomputed for the final spatial-supervision matrix.</w:t>
      </w:r>
    </w:p>
    <w:p>
      <w:pPr>
        <w:spacing w:before="140" w:after="60"/>
      </w:pPr>
      <w:r>
        <w:rPr>
          <w:rFonts w:ascii="Arial" w:hAnsi="Arial"/>
          <w:b/>
          <w:color w:val="1F4E79"/>
          <w:sz w:val="22"/>
        </w:rPr>
        <w:t>3.3 Reproduced 2-s baseline comparison</w:t>
      </w:r>
    </w:p>
    <w:p>
      <w:pPr>
        <w:spacing w:after="100" w:line="276" w:lineRule="auto"/>
      </w:pPr>
      <w:r>
        <w:rPr>
          <w:rFonts w:ascii="Arial" w:hAnsi="Arial"/>
          <w:sz w:val="19"/>
        </w:rPr>
        <w:t>The proposed 2-s strategies were compared with reproduced shallow, deep, classical, Riemannian, and EEGNetV4 baselines. On IV-2a, routing exceeded the reproduced ShallowConvNet and DeepConvNet baselines. On IV-2b, adaptive Riemann KD plus spatial supervision was close to EEGNetV4 and exceeded the shallow/deep 2-s baselines. These neural baseline comparisons are descriptive pending paired statistical tests.</w:t>
      </w:r>
    </w:p>
    <w:p>
      <w:r>
        <w:drawing>
          <wp:inline xmlns:a="http://schemas.openxmlformats.org/drawingml/2006/main" xmlns:pic="http://schemas.openxmlformats.org/drawingml/2006/picture">
            <wp:extent cx="6126480" cy="33522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short_window_basel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52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rial" w:hAnsi="Arial"/>
          <w:b/>
          <w:sz w:val="17"/>
        </w:rPr>
        <w:t>Figure 3 | Reproduced latency-matched 2-s baselines. Blue bars indicate the proposed short-window strategy for each dataset; gray bars are external baselines under the same cross-session setting.</w:t>
      </w:r>
    </w:p>
    <w:p>
      <w:pPr>
        <w:jc w:val="left"/>
      </w:pPr>
      <w:r>
        <w:rPr>
          <w:rFonts w:ascii="Arial" w:hAnsi="Arial"/>
          <w:b/>
          <w:sz w:val="17"/>
        </w:rPr>
        <w:t>Table 3 | Reproduced 2-s external baselines.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936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Dataset</w:t>
            </w:r>
          </w:p>
        </w:tc>
        <w:tc>
          <w:tcPr>
            <w:tcW w:type="dxa" w:w="3456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2-s comparator</w:t>
            </w:r>
          </w:p>
        </w:tc>
        <w:tc>
          <w:tcPr>
            <w:tcW w:type="dxa" w:w="1656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Accuracy</w:t>
            </w:r>
          </w:p>
        </w:tc>
        <w:tc>
          <w:tcPr>
            <w:tcW w:type="dxa" w:w="151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Macro-F1</w:t>
            </w:r>
          </w:p>
        </w:tc>
        <w:tc>
          <w:tcPr>
            <w:tcW w:type="dxa" w:w="1224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Kappa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2a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ShallowConvNet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0.5187 +/- 0.0026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0.5113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0.3582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2a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DeepConvNet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0.4863 +/- 0.0131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0.4553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0.3151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2a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CSP-LDA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0.5530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--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--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2a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FBCSP-LDA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0.5638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0.5517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0.4184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2a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Riemann TS-LogReg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0.5694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--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--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2a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EEGNetV4 CE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0.5809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--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--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2a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Validation-controlled routing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0.5931 +/- 0.0114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0.5842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0.4575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2b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ShallowConvNet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0.7477 +/- 0.0073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0.7443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0.4954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2b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DeepConvNet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0.7487 +/- 0.0118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0.7429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0.4973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2b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CSP-LDA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0.7136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0.7076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0.4272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2b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FBCSP-LDA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0.7258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0.7227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0.4515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2b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Riemann TS-LogReg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0.7159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0.7080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0.4317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2b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EEGNetV4 CE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0.7714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0.7676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0.5427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2b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Adaptive Riemann KD + spatial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0.7712 +/- 0.0152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0.7681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0.5424</w:t>
            </w:r>
          </w:p>
        </w:tc>
      </w:tr>
    </w:tbl>
    <w:p/>
    <w:p>
      <w:pPr>
        <w:spacing w:before="140" w:after="60"/>
      </w:pPr>
      <w:r>
        <w:rPr>
          <w:rFonts w:ascii="Arial" w:hAnsi="Arial"/>
          <w:b/>
          <w:color w:val="1F4E79"/>
          <w:sz w:val="22"/>
        </w:rPr>
        <w:t>3.4 Complete-window context</w:t>
      </w:r>
    </w:p>
    <w:p>
      <w:pPr>
        <w:spacing w:after="100" w:line="276" w:lineRule="auto"/>
      </w:pPr>
      <w:r>
        <w:rPr>
          <w:rFonts w:ascii="Arial" w:hAnsi="Arial"/>
          <w:sz w:val="19"/>
        </w:rPr>
        <w:t>Four-second models remained strong references. The short-window contribution should therefore be read as preserving useful decoding performance under an earlier-decision constraint, rather than as surpassing all complete-window methods.</w:t>
      </w:r>
    </w:p>
    <w:p>
      <w:pPr>
        <w:jc w:val="left"/>
      </w:pPr>
      <w:r>
        <w:rPr>
          <w:rFonts w:ascii="Arial" w:hAnsi="Arial"/>
          <w:b/>
          <w:sz w:val="17"/>
        </w:rPr>
        <w:t>Table 4 | Four-second reference context.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936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Dataset</w:t>
            </w:r>
          </w:p>
        </w:tc>
        <w:tc>
          <w:tcPr>
            <w:tcW w:type="dxa" w:w="3456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4-s reference</w:t>
            </w:r>
          </w:p>
        </w:tc>
        <w:tc>
          <w:tcPr>
            <w:tcW w:type="dxa" w:w="1656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Accuracy</w:t>
            </w:r>
          </w:p>
        </w:tc>
        <w:tc>
          <w:tcPr>
            <w:tcW w:type="dxa" w:w="151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Macro-F1</w:t>
            </w:r>
          </w:p>
        </w:tc>
        <w:tc>
          <w:tcPr>
            <w:tcW w:type="dxa" w:w="1224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Kappa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2a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ShallowConvNet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0.5038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0.4923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0.3384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2a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DeepConvNet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0.4710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0.4372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0.2947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2a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Compact EEGNet CE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0.5836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0.5749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0.4448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2a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EEGNetV4 CE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0.6025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0.5894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0.4700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2a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Riemann TS-LogReg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0.6525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0.6420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0.5367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2a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CSP-LDA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0.6029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0.5726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0.4705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2a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FBCSP-LDA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0.6296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0.6154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0.5061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2b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ShallowConvNet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0.7666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0.7619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0.5332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2b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DeepConvNet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0.7741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0.7639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0.5482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2b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Compact EEGNet CE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0.7806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0.7763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0.5612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2b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EEGNetV4 CE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0.7895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0.7852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0.5790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2b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Riemann TS-LogReg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0.7297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0.7189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0.4593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2b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CSP-LDA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0.7303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0.7197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0.4606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2b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FBCSP-LDA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0.7587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0.7540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0.5173</w:t>
            </w:r>
          </w:p>
        </w:tc>
      </w:tr>
    </w:tbl>
    <w:p/>
    <w:p>
      <w:pPr>
        <w:spacing w:before="140" w:after="60"/>
      </w:pPr>
      <w:r>
        <w:rPr>
          <w:rFonts w:ascii="Arial" w:hAnsi="Arial"/>
          <w:b/>
          <w:color w:val="1F4E79"/>
          <w:sz w:val="22"/>
        </w:rPr>
        <w:t>3.5 Riemannian soft-label and spatial supervision were complementary</w:t>
      </w:r>
    </w:p>
    <w:p>
      <w:pPr>
        <w:spacing w:after="100" w:line="276" w:lineRule="auto"/>
      </w:pPr>
      <w:r>
        <w:rPr>
          <w:rFonts w:ascii="Arial" w:hAnsi="Arial"/>
          <w:sz w:val="19"/>
        </w:rPr>
        <w:t>The IV-2b auxiliary-loss ablation is descriptive: moderate joint weighting (0.10+0.10) reached the highest participant-level mean. These values summarize participants after five-seed averaging, so their standard deviations quantify participant heterogeneity and are not directly comparable with the seed-level standard deviations in Table 2. A paired comparison against CE remains necessary before drawing a confirmatory ablation claim.</w:t>
      </w:r>
    </w:p>
    <w:p>
      <w:r>
        <w:drawing>
          <wp:inline xmlns:a="http://schemas.openxmlformats.org/drawingml/2006/main" xmlns:pic="http://schemas.openxmlformats.org/drawingml/2006/picture">
            <wp:extent cx="6126480" cy="29195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spatial_ab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19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rial" w:hAnsi="Arial"/>
          <w:b/>
          <w:sz w:val="17"/>
        </w:rPr>
        <w:t>Figure 4 | IV-2b Riemannian KD and spatial-supervision ablation. Values are participant-level means after five-seed averaging; error values are reported in Table 5.</w:t>
      </w:r>
    </w:p>
    <w:p>
      <w:pPr>
        <w:jc w:val="left"/>
      </w:pPr>
      <w:r>
        <w:rPr>
          <w:rFonts w:ascii="Arial" w:hAnsi="Arial"/>
          <w:b/>
          <w:sz w:val="17"/>
        </w:rPr>
        <w:t>Table 5 | IV-2b Riemannian KD and spatial-loss ablation at 8-32 Hz.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3096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Configuration</w:t>
            </w:r>
          </w:p>
        </w:tc>
        <w:tc>
          <w:tcPr>
            <w:tcW w:type="dxa" w:w="1080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Total weight</w:t>
            </w:r>
          </w:p>
        </w:tc>
        <w:tc>
          <w:tcPr>
            <w:tcW w:type="dxa" w:w="1800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Accuracy</w:t>
            </w:r>
          </w:p>
        </w:tc>
        <w:tc>
          <w:tcPr>
            <w:tcW w:type="dxa" w:w="1800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Macro-F1</w:t>
            </w:r>
          </w:p>
        </w:tc>
        <w:tc>
          <w:tcPr>
            <w:tcW w:type="dxa" w:w="1800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Kappa</w:t>
            </w:r>
          </w:p>
        </w:tc>
      </w:tr>
      <w:tr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Riemann KD + spatial (0.05 + 0.05)</w:t>
            </w:r>
          </w:p>
        </w:tc>
        <w:tc>
          <w:tcPr>
            <w:tcW w:type="dxa" w:w="10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0.10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0.7589 +/- 0.1420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0.7525 +/- 0.1494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0.5177 +/- 0.2840</w:t>
            </w:r>
          </w:p>
        </w:tc>
      </w:tr>
      <w:tr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Riemann KD + spatial (0.10 + 0.10)</w:t>
            </w:r>
          </w:p>
        </w:tc>
        <w:tc>
          <w:tcPr>
            <w:tcW w:type="dxa" w:w="10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0.20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0.7648 +/- 0.1354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0.7617 +/- 0.1373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0.5296 +/- 0.2709</w:t>
            </w:r>
          </w:p>
        </w:tc>
      </w:tr>
      <w:tr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Riemann KD only (0.20 + 0.00)</w:t>
            </w:r>
          </w:p>
        </w:tc>
        <w:tc>
          <w:tcPr>
            <w:tcW w:type="dxa" w:w="10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0.20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0.7608 +/- 0.1373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0.7543 +/- 0.1458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0.5216 +/- 0.2745</w:t>
            </w:r>
          </w:p>
        </w:tc>
      </w:tr>
      <w:tr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Spatial only (0.00 + 0.20)</w:t>
            </w:r>
          </w:p>
        </w:tc>
        <w:tc>
          <w:tcPr>
            <w:tcW w:type="dxa" w:w="10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0.20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0.7614 +/- 0.1421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0.7551 +/- 0.1499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0.5229 +/- 0.2841</w:t>
            </w:r>
          </w:p>
        </w:tc>
      </w:tr>
    </w:tbl>
    <w:p/>
    <w:p>
      <w:pPr>
        <w:spacing w:before="200" w:after="60"/>
      </w:pPr>
      <w:r>
        <w:rPr>
          <w:rFonts w:ascii="Arial" w:hAnsi="Arial"/>
          <w:b/>
          <w:color w:val="1F4E79"/>
          <w:sz w:val="26"/>
        </w:rPr>
        <w:t>4 Discussion</w:t>
      </w:r>
    </w:p>
    <w:p>
      <w:pPr>
        <w:spacing w:after="100" w:line="276" w:lineRule="auto"/>
      </w:pPr>
      <w:r>
        <w:rPr>
          <w:rFonts w:ascii="Arial" w:hAnsi="Arial"/>
          <w:sz w:val="19"/>
        </w:rPr>
        <w:t>The main result is a significant improvement in IV-2a short-window decoding without carrying the 4-s teachers into inference. The IV-2a/IV-2b contrast suggests that the utility of privileged long-window information is task-dependent: it is more useful when class structure and spatial covariance are richer. The study does not claim that 2 s replaces 4 s. It instead establishes a controlled route toward earlier decisions when the available evidence is restricted.</w:t>
      </w:r>
    </w:p>
    <w:p>
      <w:pPr>
        <w:spacing w:after="100" w:line="276" w:lineRule="auto"/>
      </w:pPr>
      <w:r>
        <w:rPr>
          <w:rFonts w:ascii="Arial" w:hAnsi="Arial"/>
          <w:sz w:val="19"/>
        </w:rPr>
        <w:t>The principal limitation is route-selection stability. Although the evaluation session was isolated, routing used one internal validation partition per seed. A future out-of-fold or inner K-fold routing analysis should test whether the selected route remains stable across partitions. The work is also participant-dependent and does not establish cross-participant transfer or asynchronous online performance.</w:t>
      </w:r>
    </w:p>
    <w:p>
      <w:pPr>
        <w:spacing w:before="200" w:after="60"/>
      </w:pPr>
      <w:r>
        <w:rPr>
          <w:rFonts w:ascii="Arial" w:hAnsi="Arial"/>
          <w:b/>
          <w:color w:val="1F4E79"/>
          <w:sz w:val="26"/>
        </w:rPr>
        <w:t>5 Conclusion</w:t>
      </w:r>
    </w:p>
    <w:p>
      <w:pPr>
        <w:spacing w:after="100" w:line="276" w:lineRule="auto"/>
      </w:pPr>
      <w:r>
        <w:rPr>
          <w:rFonts w:ascii="Arial" w:hAnsi="Arial"/>
          <w:sz w:val="19"/>
        </w:rPr>
        <w:t>Training-time privileged information and validation-controlled strategy selection improved 2-s MI-EEG decoding on the four-class IV-2a dataset, while Riemannian spatial supervision produced a smaller positive effect on IV-2b. The results support short-window decoding as an earlier-decision engineering strategy with explicit dataset-dependent limits.</w:t>
      </w:r>
    </w:p>
    <w:p>
      <w:pPr>
        <w:spacing w:before="200" w:after="60"/>
      </w:pPr>
      <w:r>
        <w:rPr>
          <w:rFonts w:ascii="Arial" w:hAnsi="Arial"/>
          <w:b/>
          <w:color w:val="1F4E79"/>
          <w:sz w:val="26"/>
        </w:rPr>
        <w:t>Declarations</w:t>
      </w:r>
    </w:p>
    <w:p>
      <w:pPr>
        <w:spacing w:after="100" w:line="276" w:lineRule="auto"/>
      </w:pPr>
      <w:r>
        <w:rPr>
          <w:rFonts w:ascii="Arial" w:hAnsi="Arial"/>
          <w:sz w:val="19"/>
        </w:rPr>
        <w:t>Data availability: BCI Competition IV-2a and IV-2b are available through MOABB as BNCI2014_001 and BNCI2014_004. Code availability: the release should include environment versions, result CSV files, source-data tables, and all commands used for the reported matrices. Competing interests: none declared.</w:t>
      </w:r>
    </w:p>
    <w:p>
      <w:pPr>
        <w:spacing w:before="200" w:after="60"/>
      </w:pPr>
      <w:r>
        <w:rPr>
          <w:rFonts w:ascii="Arial" w:hAnsi="Arial"/>
          <w:b/>
          <w:color w:val="1F4E79"/>
          <w:sz w:val="26"/>
        </w:rPr>
        <w:t>References</w:t>
      </w:r>
    </w:p>
    <w:p>
      <w:pPr>
        <w:spacing w:after="40"/>
      </w:pPr>
      <w:r>
        <w:rPr>
          <w:rFonts w:ascii="Arial" w:hAnsi="Arial"/>
          <w:sz w:val="15"/>
        </w:rPr>
        <w:t>参考文献保留原始英文书目信息。</w:t>
      </w:r>
    </w:p>
    <w:p>
      <w:pPr>
        <w:spacing w:after="40"/>
      </w:pPr>
      <w:r>
        <w:rPr>
          <w:rFonts w:ascii="Arial" w:hAnsi="Arial"/>
          <w:sz w:val="15"/>
        </w:rPr>
        <w:t>1. Altaheri H, Muhammad G, Alsulaiman M et al (2023) Deep learning techniques for classification of electroencephalogram (EEG) motor imagery (MI) signals: a review. Neural Comput Appl 35:14681-14722. https://doi.org/10.1007/s00521-023-08542-7</w:t>
      </w:r>
    </w:p>
    <w:p>
      <w:pPr>
        <w:spacing w:after="40"/>
      </w:pPr>
      <w:r>
        <w:rPr>
          <w:rFonts w:ascii="Arial" w:hAnsi="Arial"/>
          <w:sz w:val="15"/>
        </w:rPr>
        <w:t>2. Ang KK, Guan C (2018) EEG-based strategies for stroke rehabilitation. In: Nam CS, Nijholt A, Lotte F (eds) Brain-computer interfaces handbook. CRC Press, pp 553-574</w:t>
      </w:r>
    </w:p>
    <w:p>
      <w:pPr>
        <w:spacing w:after="40"/>
      </w:pPr>
      <w:r>
        <w:rPr>
          <w:rFonts w:ascii="Arial" w:hAnsi="Arial"/>
          <w:sz w:val="15"/>
        </w:rPr>
        <w:t>3. Barachant A, Bonnet S, Congedo M, Jutten C (2012) Multiclass brain-computer interface classification by Riemannian geometry. IEEE Trans Biomed Eng 59:920-928. https://doi.org/10.1109/TBME.2011.2172210</w:t>
      </w:r>
    </w:p>
    <w:p>
      <w:pPr>
        <w:spacing w:after="40"/>
      </w:pPr>
      <w:r>
        <w:rPr>
          <w:rFonts w:ascii="Arial" w:hAnsi="Arial"/>
          <w:sz w:val="15"/>
        </w:rPr>
        <w:t>4. Barachant A, Bonnet S, Congedo M, Jutten C (2013) Classification of covariance matrices using a Riemannian-based kernel for BCI applications. Neurocomputing 112:172-178. https://doi.org/10.1016/j.neucom.2012.12.039</w:t>
      </w:r>
    </w:p>
    <w:p>
      <w:pPr>
        <w:spacing w:after="40"/>
      </w:pPr>
      <w:r>
        <w:rPr>
          <w:rFonts w:ascii="Arial" w:hAnsi="Arial"/>
          <w:sz w:val="15"/>
        </w:rPr>
        <w:t>5. Blankertz B, Tomioka R, Lemm S, Kawanabe M, Muller KR (2008) Optimizing spatial filters for robust EEG single-trial analysis. IEEE Signal Process Mag 25:41-56. https://doi.org/10.1109/MSP.2008.4408441</w:t>
      </w:r>
    </w:p>
    <w:p>
      <w:pPr>
        <w:spacing w:after="40"/>
      </w:pPr>
      <w:r>
        <w:rPr>
          <w:rFonts w:ascii="Arial" w:hAnsi="Arial"/>
          <w:sz w:val="15"/>
        </w:rPr>
        <w:t>6. Brunner C, Leeb R, Muller-Putz G, Schlogl A, Pfurtscheller G (2010) BCI Competition 2008: Graz data set A. Institute for Knowledge Discovery, Graz University of Technology</w:t>
      </w:r>
    </w:p>
    <w:p>
      <w:pPr>
        <w:spacing w:after="40"/>
      </w:pPr>
      <w:r>
        <w:rPr>
          <w:rFonts w:ascii="Arial" w:hAnsi="Arial"/>
          <w:sz w:val="15"/>
        </w:rPr>
        <w:t>7. Chen Y, Wiesel A, Eldar YC, Hero AO (2010) Shrinkage algorithms for MMSE covariance estimation. IEEE Trans Signal Process 58:5016-5029. https://doi.org/10.1109/TSP.2010.2053029</w:t>
      </w:r>
    </w:p>
    <w:p>
      <w:pPr>
        <w:spacing w:after="40"/>
      </w:pPr>
      <w:r>
        <w:rPr>
          <w:rFonts w:ascii="Arial" w:hAnsi="Arial"/>
          <w:sz w:val="15"/>
        </w:rPr>
        <w:t>8. Congedo M, Barachant A, Bhatia R (2017) Riemannian geometry for EEG-based brain-computer interfaces; a primer and a review. BCI 4:1-39. https://doi.org/10.1080/2326263X.2017.1297192</w:t>
      </w:r>
    </w:p>
    <w:p>
      <w:pPr>
        <w:spacing w:after="40"/>
      </w:pPr>
      <w:r>
        <w:rPr>
          <w:rFonts w:ascii="Arial" w:hAnsi="Arial"/>
          <w:sz w:val="15"/>
        </w:rPr>
        <w:t>9. Cui J, Lan Z, Liu Y et al (2022) A compact and interpretable convolutional neural network for cross-subject driver drowsiness recognition from single-channel EEG. IEEE Trans Neural Syst Rehabil Eng 30:286-296. https://doi.org/10.1109/TNSRE.2022.3147419</w:t>
      </w:r>
    </w:p>
    <w:p>
      <w:pPr>
        <w:spacing w:after="40"/>
      </w:pPr>
      <w:r>
        <w:rPr>
          <w:rFonts w:ascii="Arial" w:hAnsi="Arial"/>
          <w:sz w:val="15"/>
        </w:rPr>
        <w:t>10. Ding Y, Robinson N, Zeng Q et al (2022) TSception: a deep learning framework for emotion detection using EEG. In: Proc Int Joint Conf Neural Networks (IJCNN), pp 1-8. https://doi.org/10.1109/IJCNN55064.2022.9967692</w:t>
      </w:r>
    </w:p>
    <w:p>
      <w:pPr>
        <w:spacing w:after="40"/>
      </w:pPr>
      <w:r>
        <w:rPr>
          <w:rFonts w:ascii="Arial" w:hAnsi="Arial"/>
          <w:sz w:val="15"/>
        </w:rPr>
        <w:t>11. Hinton G, Vinyals O, Dean J (2015) Distilling the knowledge in a neural network. arXiv:1503.02531. https://doi.org/10.48550/arXiv.1503.02531</w:t>
      </w:r>
    </w:p>
    <w:p>
      <w:pPr>
        <w:spacing w:after="40"/>
      </w:pPr>
      <w:r>
        <w:rPr>
          <w:rFonts w:ascii="Arial" w:hAnsi="Arial"/>
          <w:sz w:val="15"/>
        </w:rPr>
        <w:t>12. Jayaram V, Barachant A (2018) MOABB: trustworthy algorithm benchmarking for BCIs. J Neural Eng 15:066011. https://doi.org/10.1088/1741-2552/aadea0</w:t>
      </w:r>
    </w:p>
    <w:p>
      <w:pPr>
        <w:spacing w:after="40"/>
      </w:pPr>
      <w:r>
        <w:rPr>
          <w:rFonts w:ascii="Arial" w:hAnsi="Arial"/>
          <w:sz w:val="15"/>
        </w:rPr>
        <w:t>13. Kalunga EK, Chevallier S, Barre Q, Djouani K, Monacelli E, Hamam Y (2016) Online SSVEP-based BCI using Riemannian geometry. Neurocomputing 191:55-68. https://doi.org/10.1016/j.neucom.2016.01.007</w:t>
      </w:r>
    </w:p>
    <w:p>
      <w:pPr>
        <w:spacing w:after="40"/>
      </w:pPr>
      <w:r>
        <w:rPr>
          <w:rFonts w:ascii="Arial" w:hAnsi="Arial"/>
          <w:sz w:val="15"/>
        </w:rPr>
        <w:t>14. Lawhern VJ, Solon AJ, Waytowich NR, Gordon SM, Hung CP, Lance BJ (2018) EEGNet: a compact convolutional neural network for EEG-based brain-computer interfaces. J Neural Eng 15:056013. https://doi.org/10.1088/1741-2552/aace8c</w:t>
      </w:r>
    </w:p>
    <w:p>
      <w:pPr>
        <w:spacing w:after="40"/>
      </w:pPr>
      <w:r>
        <w:rPr>
          <w:rFonts w:ascii="Arial" w:hAnsi="Arial"/>
          <w:sz w:val="15"/>
        </w:rPr>
        <w:t>15. Lotte F, Bougrain L, Cichocki A et al (2018) A review of classification algorithms for EEG-based brain-computer interfaces: a 10 year update. J Neural Eng 15:031005. https://doi.org/10.1088/1741-2552/aab2f2</w:t>
      </w:r>
    </w:p>
    <w:p>
      <w:pPr>
        <w:spacing w:after="40"/>
      </w:pPr>
      <w:r>
        <w:rPr>
          <w:rFonts w:ascii="Arial" w:hAnsi="Arial"/>
          <w:sz w:val="15"/>
        </w:rPr>
        <w:t>16. Lotte F, Jeunet C (2015) Towards improved BCI spellers using a co-adaptive calibration of the P300 speller with RSVP and visual feedback. J Neural Eng 12:066007</w:t>
      </w:r>
    </w:p>
    <w:p>
      <w:pPr>
        <w:spacing w:after="40"/>
      </w:pPr>
      <w:r>
        <w:rPr>
          <w:rFonts w:ascii="Arial" w:hAnsi="Arial"/>
          <w:sz w:val="15"/>
        </w:rPr>
        <w:t>17. Mane R, Chew E, Chua K et al (2021) FBCNet: a multi-view convolutional neural network for brain-computer interface. arXiv:2104.01233</w:t>
      </w:r>
    </w:p>
    <w:p>
      <w:pPr>
        <w:spacing w:after="40"/>
      </w:pPr>
      <w:r>
        <w:rPr>
          <w:rFonts w:ascii="Arial" w:hAnsi="Arial"/>
          <w:sz w:val="15"/>
        </w:rPr>
        <w:t>18. Meisheri H, Ramrao N, Mitra S, Saha S (2022) Common spatial pattern for EEG based brain-computer interface: an implementation review. In: Proc Int Conf Comput Intell, pp 1-6</w:t>
      </w:r>
    </w:p>
    <w:p>
      <w:pPr>
        <w:spacing w:after="40"/>
      </w:pPr>
      <w:r>
        <w:rPr>
          <w:rFonts w:ascii="Arial" w:hAnsi="Arial"/>
          <w:sz w:val="15"/>
        </w:rPr>
        <w:t>19. Pfurtscheller G, Neuper C (2001) Motor imagery and direct brain-computer communication. Proc IEEE 89:1123-1134. https://doi.org/10.1109/5.939829</w:t>
      </w:r>
    </w:p>
    <w:p>
      <w:pPr>
        <w:spacing w:after="40"/>
      </w:pPr>
      <w:r>
        <w:rPr>
          <w:rFonts w:ascii="Arial" w:hAnsi="Arial"/>
          <w:sz w:val="15"/>
        </w:rPr>
        <w:t>20. Roy Y, Banville H, Albuquerque I, Gramfort A, Falk TH, Faubert J (2019) Deep learning-based electroencephalography analysis: a systematic review. J Neural Eng 16:051001. https://doi.org/10.1088/1741-2552/ab260c</w:t>
      </w:r>
    </w:p>
    <w:p>
      <w:pPr>
        <w:spacing w:after="40"/>
      </w:pPr>
      <w:r>
        <w:rPr>
          <w:rFonts w:ascii="Arial" w:hAnsi="Arial"/>
          <w:sz w:val="15"/>
        </w:rPr>
        <w:t>21. Schirrmeister RT, Springenberg JT, Fiederer LDJ et al (2017) Deep learning with convolutional neural networks for EEG decoding and visualization. Hum Brain Mapp 38:5391-5420. https://doi.org/10.1002/hbm.23730</w:t>
      </w:r>
    </w:p>
    <w:p>
      <w:pPr>
        <w:spacing w:after="40"/>
      </w:pPr>
      <w:r>
        <w:rPr>
          <w:rFonts w:ascii="Arial" w:hAnsi="Arial"/>
          <w:sz w:val="15"/>
        </w:rPr>
        <w:t>22. Song Y, Zheng Q, Liu B, Gao X (2023) EEG conformer: convolutional transformer for EEG decoding and visualization. IEEE Trans Neural Syst Rehabil Eng 31:710-719. https://doi.org/10.1109/TNSRE.2022.3230250</w:t>
      </w:r>
    </w:p>
    <w:p>
      <w:pPr>
        <w:spacing w:after="40"/>
      </w:pPr>
      <w:r>
        <w:rPr>
          <w:rFonts w:ascii="Arial" w:hAnsi="Arial"/>
          <w:sz w:val="15"/>
        </w:rPr>
        <w:t>23. Tangermann M, Muller KR, Aertsen A et al (2012) Review of the BCI Competition IV. Front Neurosci 6:55. https://doi.org/10.3389/fnins.2012.00055</w:t>
      </w:r>
    </w:p>
    <w:p>
      <w:pPr>
        <w:spacing w:after="40"/>
      </w:pPr>
      <w:r>
        <w:rPr>
          <w:rFonts w:ascii="Arial" w:hAnsi="Arial"/>
          <w:sz w:val="15"/>
        </w:rPr>
        <w:t>24. Tang J, Liu C, Li Q (2020) EEG feature distillation for motor imagery classification. In: Proc IEEE Int Conf Bioinformatics and Biomedicine (BIBM), pp 1680-1683</w:t>
      </w:r>
    </w:p>
    <w:p>
      <w:pPr>
        <w:spacing w:after="40"/>
      </w:pPr>
      <w:r>
        <w:rPr>
          <w:rFonts w:ascii="Arial" w:hAnsi="Arial"/>
          <w:sz w:val="15"/>
        </w:rPr>
        <w:t>25. Wang J, Li S, Li R, Shi Y (2022) EEG motor imagery classification with multi-view convolutional neural network. Biomed Signal Process Control 77:103778</w:t>
      </w:r>
    </w:p>
    <w:p>
      <w:pPr>
        <w:spacing w:after="40"/>
      </w:pPr>
      <w:r>
        <w:rPr>
          <w:rFonts w:ascii="Arial" w:hAnsi="Arial"/>
          <w:sz w:val="15"/>
        </w:rPr>
        <w:t>26. Wei Q, Wang Y, Gao X, Gao S (2022) Amplitude and phase coupling in steady-state motion visual evoked potentials for BCI. J Neural Eng 19:026002</w:t>
      </w:r>
    </w:p>
    <w:p>
      <w:pPr>
        <w:spacing w:after="40"/>
      </w:pPr>
      <w:r>
        <w:rPr>
          <w:rFonts w:ascii="Arial" w:hAnsi="Arial"/>
          <w:sz w:val="15"/>
        </w:rPr>
        <w:t>27. Yger F, Berar M, Lotte F (2016) Riemannian approaches in brain-computer interfaces: a review. IEEE Trans Neural Syst Rehabil Eng 25:1753-1762. https://doi.org/10.1109/TNSRE.2016.2627016</w:t>
      </w:r>
    </w:p>
    <w:p>
      <w:pPr>
        <w:spacing w:after="40"/>
      </w:pPr>
      <w:r>
        <w:rPr>
          <w:rFonts w:ascii="Arial" w:hAnsi="Arial"/>
          <w:sz w:val="15"/>
        </w:rPr>
        <w:t>28. Zhang L, Wang J, Chen B et al (2023) Temporal convolutional network for motor imagery EEG decoding with attention mechanism. Biomed Signal Process Control 81:104432</w:t>
      </w:r>
    </w:p>
    <w:p>
      <w:pPr>
        <w:spacing w:after="40"/>
      </w:pPr>
      <w:r>
        <w:rPr>
          <w:rFonts w:ascii="Arial" w:hAnsi="Arial"/>
          <w:sz w:val="15"/>
        </w:rPr>
        <w:t>29. Zhang X, Yao L, Wang X, Monaghan J, McAlpine D (2022) A survey on deep learning-based non-invasive brain signals: recent advances and new frontiers. J Neural Eng 18:031002</w:t>
      </w:r>
    </w:p>
    <w:p>
      <w:pPr>
        <w:spacing w:after="40"/>
      </w:pPr>
      <w:r>
        <w:rPr>
          <w:rFonts w:ascii="Arial" w:hAnsi="Arial"/>
          <w:sz w:val="15"/>
        </w:rPr>
        <w:t>30. Zuo C, Jin J, Yin Y et al (2023) Novel hybrid deep learning model for motor imagery EEG classification based on capsule network. Cogn Neurodyn 17:107-121</w:t>
      </w:r>
    </w:p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