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6B20" w14:textId="77777777" w:rsidR="00EE56A9" w:rsidRDefault="00721CC4">
      <w:pPr>
        <w:pStyle w:val="aa"/>
        <w:spacing w:after="0" w:line="360" w:lineRule="auto"/>
        <w:jc w:val="center"/>
      </w:pPr>
      <w:r>
        <w:rPr>
          <w:rFonts w:ascii="Times New Roman" w:eastAsia="宋体" w:hAnsi="Times New Roman"/>
        </w:rPr>
        <w:t>分子性质预测中候选池扩张、验证排序失真与模型选择损失：一项回顾性嵌套审计研究</w:t>
      </w:r>
    </w:p>
    <w:p w14:paraId="42647375" w14:textId="77777777" w:rsidR="00EE56A9" w:rsidRDefault="00721CC4">
      <w:pPr>
        <w:pStyle w:val="1"/>
        <w:spacing w:line="360" w:lineRule="auto"/>
      </w:pPr>
      <w:r>
        <w:rPr>
          <w:rFonts w:ascii="Times New Roman" w:eastAsia="黑体" w:hAnsi="Times New Roman"/>
          <w:b w:val="0"/>
        </w:rPr>
        <w:t>摘要</w:t>
      </w:r>
    </w:p>
    <w:p w14:paraId="22AE1843" w14:textId="77777777" w:rsidR="00EE56A9" w:rsidRDefault="00721CC4">
      <w:pPr>
        <w:spacing w:after="0" w:line="360" w:lineRule="auto"/>
      </w:pPr>
      <w:r>
        <w:t>背景：分子性质预测研究越来越多地比较由表征、学习算法和调参变体组成的大型相关候选登记表。候选扩张可能引入有用的化学信息，但也增加了在有限验证数据上反复排序带噪候选估计的机会。</w:t>
      </w:r>
    </w:p>
    <w:p w14:paraId="0BE58421" w14:textId="77777777" w:rsidR="00EE56A9" w:rsidRDefault="00721CC4">
      <w:pPr>
        <w:spacing w:after="0" w:line="360" w:lineRule="auto"/>
      </w:pPr>
      <w:r>
        <w:t>方法：在九个公开端点的重复嵌套审计基础上，加入预先固定的六端点候选池组成干预。三类锁定候选池在</w:t>
      </w:r>
      <w:r>
        <w:t xml:space="preserve"> K = 4</w:t>
      </w:r>
      <w:r>
        <w:t>、</w:t>
      </w:r>
      <w:r>
        <w:t>8</w:t>
      </w:r>
      <w:r>
        <w:t>、</w:t>
      </w:r>
      <w:r>
        <w:t>16</w:t>
      </w:r>
      <w:r>
        <w:t>、</w:t>
      </w:r>
      <w:r>
        <w:t xml:space="preserve">32 </w:t>
      </w:r>
      <w:r>
        <w:t>下采用重复</w:t>
      </w:r>
      <w:r>
        <w:t xml:space="preserve"> 3×3 </w:t>
      </w:r>
      <w:r>
        <w:t>嵌套骨架切分，并完成组件消融、等下游预算截断、三个预设锚点、三种归一化、选择稳定性及三端点</w:t>
      </w:r>
      <w:r>
        <w:t xml:space="preserve"> Tanimoto </w:t>
      </w:r>
      <w:r>
        <w:t>连通分量闭环。</w:t>
      </w:r>
    </w:p>
    <w:p w14:paraId="7F0AABE5" w14:textId="77777777" w:rsidR="00EE56A9" w:rsidRDefault="00721CC4">
      <w:pPr>
        <w:spacing w:after="0" w:line="360" w:lineRule="auto"/>
      </w:pPr>
      <w:r>
        <w:t>结果：</w:t>
      </w:r>
      <w:r>
        <w:t xml:space="preserve">18 </w:t>
      </w:r>
      <w:r>
        <w:t>个</w:t>
      </w:r>
      <w:r>
        <w:t>‘</w:t>
      </w:r>
      <w:r>
        <w:t>端点</w:t>
      </w:r>
      <w:r>
        <w:t>×</w:t>
      </w:r>
      <w:r>
        <w:t>候选池</w:t>
      </w:r>
      <w:r>
        <w:t>’</w:t>
      </w:r>
      <w:r>
        <w:t>单元中，</w:t>
      </w:r>
      <w:r>
        <w:t xml:space="preserve">CAHit@3 </w:t>
      </w:r>
      <w:r>
        <w:t>从</w:t>
      </w:r>
      <w:r>
        <w:t xml:space="preserve"> K = 4 </w:t>
      </w:r>
      <w:r>
        <w:t>到</w:t>
      </w:r>
      <w:r>
        <w:t xml:space="preserve"> 32 </w:t>
      </w:r>
      <w:r>
        <w:t>在</w:t>
      </w:r>
      <w:r>
        <w:t xml:space="preserve"> 14 </w:t>
      </w:r>
      <w:r>
        <w:t>个单元下降，交叉拟合差距在</w:t>
      </w:r>
      <w:r>
        <w:t xml:space="preserve"> 10 </w:t>
      </w:r>
      <w:r>
        <w:t>个单元增加。</w:t>
      </w:r>
      <w:r>
        <w:t xml:space="preserve">K = 32 </w:t>
      </w:r>
      <w:r>
        <w:t>时，现代增强相对同质候选池的验证选择增益在</w:t>
      </w:r>
      <w:r>
        <w:t xml:space="preserve"> 6/6 </w:t>
      </w:r>
      <w:r>
        <w:t>个端点为正。组件、预算、锚点与切分机制分析表明，实际收益由互补信息、选择稳定性与下游计算暴露共同决定，而非仅由名义</w:t>
      </w:r>
      <w:r>
        <w:t xml:space="preserve"> K </w:t>
      </w:r>
      <w:r>
        <w:t>决定。</w:t>
      </w:r>
    </w:p>
    <w:p w14:paraId="57715C16" w14:textId="77777777" w:rsidR="00EE56A9" w:rsidRDefault="00721CC4">
      <w:pPr>
        <w:spacing w:after="0" w:line="360" w:lineRule="auto"/>
      </w:pPr>
      <w:r>
        <w:t>结论：候选池扩张同时提高有限审计机会并增加选择压力。有效多样性具有描述价值，但不是选择损失的因果参数；净收益取决于有限验证能否在可接受下游预算内识别互补候选。</w:t>
      </w:r>
    </w:p>
    <w:p w14:paraId="32E6A769" w14:textId="77777777" w:rsidR="00EE56A9" w:rsidRDefault="00721CC4">
      <w:pPr>
        <w:spacing w:after="0" w:line="360" w:lineRule="auto"/>
      </w:pPr>
      <w:r>
        <w:t>科学贡献：本研究在分子模型选择中联合干预候选数量与组成，完成组件和计算控制，量化选择稳定性，检验预设锚点与归一化，并评估组成效应在两种切分机制间的迁移。本文不声称新的普适统计定律，也不构成充分优化的现代架构排行榜。</w:t>
      </w:r>
    </w:p>
    <w:p w14:paraId="55B144CE" w14:textId="77777777" w:rsidR="00EE56A9" w:rsidRDefault="00721CC4">
      <w:pPr>
        <w:spacing w:after="0" w:line="360" w:lineRule="auto"/>
      </w:pPr>
      <w:r>
        <w:t>关键词：分子性质预测；候选池扩张；模型选择；嵌套交叉验证；效用模式多样性；验证排序保真度；化学支持范围</w:t>
      </w:r>
    </w:p>
    <w:p w14:paraId="0CA96EA0" w14:textId="77777777" w:rsidR="00EE56A9" w:rsidRDefault="00721CC4">
      <w:pPr>
        <w:pStyle w:val="1"/>
        <w:spacing w:line="360" w:lineRule="auto"/>
      </w:pPr>
      <w:r>
        <w:rPr>
          <w:rFonts w:ascii="Times New Roman" w:eastAsia="黑体" w:hAnsi="Times New Roman"/>
          <w:b w:val="0"/>
        </w:rPr>
        <w:t xml:space="preserve">1 </w:t>
      </w:r>
      <w:r>
        <w:rPr>
          <w:rFonts w:ascii="Times New Roman" w:eastAsia="黑体" w:hAnsi="Times New Roman"/>
          <w:b w:val="0"/>
        </w:rPr>
        <w:t>引言</w:t>
      </w:r>
    </w:p>
    <w:p w14:paraId="5B05B728" w14:textId="77777777" w:rsidR="00EE56A9" w:rsidRDefault="00721CC4">
      <w:pPr>
        <w:spacing w:after="0" w:line="360" w:lineRule="auto"/>
      </w:pPr>
      <w:r>
        <w:t>现代分子性质预测的候选空间已远超少量固定指纹和回归器。当前研究可能在同一基准中同时比较环形与子结构指纹、理化描述符、图模型、消息传递模型、化学语言模型、预训</w:t>
      </w:r>
      <w:r>
        <w:lastRenderedPageBreak/>
        <w:t>练表征、</w:t>
      </w:r>
      <w:r>
        <w:t>AutoML</w:t>
      </w:r>
      <w:r>
        <w:t>、集成和校准策略</w:t>
      </w:r>
      <w:r>
        <w:t>[1,2,5–10,16–24,34,35]</w:t>
      </w:r>
      <w:r>
        <w:t>。每类候选具有不同归纳偏置，最终报告性能不仅取决于单个预测器，也取决于哪些候选进入搜索、调优暴露、效用比较方式以及获胜者如何确定。因此，模型搜索本身构成研究估计对象的一部分，而不是与结论无关的预处理步骤。</w:t>
      </w:r>
    </w:p>
    <w:p w14:paraId="05505ADE" w14:textId="77777777" w:rsidR="00EE56A9" w:rsidRDefault="00721CC4">
      <w:pPr>
        <w:spacing w:after="0" w:line="360" w:lineRule="auto"/>
      </w:pPr>
      <w:r>
        <w:t>候选扩张具有双重作用。真实表征机会是指新增候选捕获原登记表无法表达的互补化学信息；重复验证选择机会则来自每个候选在同一有限验证信息上贡献一个带噪效用估计。前者可能改善泛化，后者可能使特定验证骨架上偶然占优的候选获得更高排名。候选相关性会削弱但不能消除这种张力，因为高度相似的流程仍可能在有限样本下交换排序。即使外层折不参与拟合，表征、学习器、调参变体、校准规则和集成方案的反复比较仍会消耗验证信息</w:t>
      </w:r>
      <w:r>
        <w:t>[3,4]</w:t>
      </w:r>
      <w:r>
        <w:t>。</w:t>
      </w:r>
    </w:p>
    <w:p w14:paraId="76BAA83F" w14:textId="77777777" w:rsidR="00EE56A9" w:rsidRDefault="00721CC4">
      <w:pPr>
        <w:spacing w:after="0" w:line="360" w:lineRule="auto"/>
      </w:pPr>
      <w:r>
        <w:t>嵌套交叉验证是分离内层选择和外层评估的主要设计。内层折用于候选排序、超参数选择和所有拟合型预处理，外层折仅评估由内层程序冻结的决策，从而避免把调参分数直接当作最终性能。重复的</w:t>
      </w:r>
      <w:r>
        <w:t>seeded scaffold partitions</w:t>
      </w:r>
      <w:r>
        <w:t>还能在化学连贯的测试组上暴露划分敏感性，并支持候选在共享外层折上的配对比较。对可能存在近邻分子跨随机划分的数据而言，这种设计是重要保障。</w:t>
      </w:r>
    </w:p>
    <w:p w14:paraId="71D58287" w14:textId="77777777" w:rsidR="00EE56A9" w:rsidRDefault="00721CC4">
      <w:pPr>
        <w:spacing w:after="0" w:line="360" w:lineRule="auto"/>
      </w:pPr>
      <w:r>
        <w:t>然而，嵌套评价不会自动解决候选依赖、名义</w:t>
      </w:r>
      <w:r>
        <w:t>K</w:t>
      </w:r>
      <w:r>
        <w:t>与有效多样性的区别、计算暴露不等、失败或不可用候选、矩阵构造敏感性以及外层最大值乐观性。外层折可以有效评价冻结选择器，但事后在多个外层候选估计中取最大值仍可能产生有限最大值偏差。当候选数超过审计单元数时，经验候选相关矩阵还会秩亏。原始、逐行中心化、固定参照和秩矩阵回答不同问题。复用公开外层折进行回顾性分解也不同于独立外部验证。</w:t>
      </w:r>
    </w:p>
    <w:p w14:paraId="26FD68CF" w14:textId="77777777" w:rsidR="00EE56A9" w:rsidRDefault="00721CC4">
      <w:pPr>
        <w:spacing w:after="0" w:line="360" w:lineRule="auto"/>
      </w:pPr>
      <w:r>
        <w:t>模型选择结果还必须由化学支持边界限定。分子相似性和骨架新颖性会改变预测难度，活性悬崖说明结构接近并不保证性质相近</w:t>
      </w:r>
      <w:r>
        <w:t>[9–14,29,30,33]</w:t>
      </w:r>
      <w:r>
        <w:t>。罕见阳性类别还可能使</w:t>
      </w:r>
      <w:r>
        <w:t>ROC-AUC</w:t>
      </w:r>
      <w:r>
        <w:t>掩盖精确率、少数类召回和假阴性风险。适用域、支持分层性能、错误重叠、不确定性和条件覆盖应作为边界证据，说明总体选择结果在低相似度分子、新颖骨架、活性悬崖或稀少毒性标签处可能如何减弱，而不是作为独立确认或合并成单一得分。</w:t>
      </w:r>
    </w:p>
    <w:p w14:paraId="62AA991A" w14:textId="77777777" w:rsidR="00EE56A9" w:rsidRDefault="00721CC4">
      <w:pPr>
        <w:spacing w:after="0" w:line="360" w:lineRule="auto"/>
      </w:pPr>
      <w:r>
        <w:t>本研究提出一个限定问题：在回顾性锁定的重复嵌套骨架评价下，候选池扩张如何与矩阵依赖效用模式多样性、机会校正排序保真度、交叉拟合选择差距和表征组成效应相关？贡献限定为三点：区分名义</w:t>
      </w:r>
      <w:r>
        <w:t>K</w:t>
      </w:r>
      <w:r>
        <w:t>与明确矩阵下估计的多样性；以置换和分级信号恢复对照校</w:t>
      </w:r>
      <w:r>
        <w:lastRenderedPageBreak/>
        <w:t>准机会校正排序，并联合审计留一</w:t>
      </w:r>
      <w:r>
        <w:t>seed</w:t>
      </w:r>
      <w:r>
        <w:t>交叉拟合差距；结合等规模表征比较和化学支持边界分析。研究保留候选资格、失败拟合、划分身份、</w:t>
      </w:r>
      <w:r>
        <w:t>source hashes</w:t>
      </w:r>
      <w:r>
        <w:t>和计算暴露。本文评价模型选择行为，不提出新的分子预测器，也不构成独立外部验证。</w:t>
      </w:r>
    </w:p>
    <w:p w14:paraId="45C0545C" w14:textId="77777777" w:rsidR="00EE56A9" w:rsidRDefault="00721CC4">
      <w:pPr>
        <w:pStyle w:val="1"/>
        <w:spacing w:line="360" w:lineRule="auto"/>
      </w:pPr>
      <w:r>
        <w:rPr>
          <w:rFonts w:ascii="Times New Roman" w:eastAsia="黑体" w:hAnsi="Times New Roman"/>
          <w:b w:val="0"/>
        </w:rPr>
        <w:t xml:space="preserve">2 </w:t>
      </w:r>
      <w:r>
        <w:rPr>
          <w:rFonts w:ascii="Times New Roman" w:eastAsia="黑体" w:hAnsi="Times New Roman"/>
          <w:b w:val="0"/>
        </w:rPr>
        <w:t>方法</w:t>
      </w:r>
    </w:p>
    <w:p w14:paraId="7E71260F" w14:textId="77777777" w:rsidR="00EE56A9" w:rsidRDefault="00721CC4">
      <w:pPr>
        <w:pStyle w:val="21"/>
        <w:spacing w:line="360" w:lineRule="auto"/>
      </w:pPr>
      <w:r>
        <w:rPr>
          <w:rFonts w:ascii="Times New Roman" w:eastAsia="黑体" w:hAnsi="Times New Roman"/>
          <w:b w:val="0"/>
        </w:rPr>
        <w:t xml:space="preserve">2.1 </w:t>
      </w:r>
      <w:r>
        <w:rPr>
          <w:rFonts w:ascii="Times New Roman" w:eastAsia="黑体" w:hAnsi="Times New Roman"/>
          <w:b w:val="0"/>
        </w:rPr>
        <w:t>研究设计与证据层级</w:t>
      </w:r>
    </w:p>
    <w:p w14:paraId="55CE0914" w14:textId="77777777" w:rsidR="00EE56A9" w:rsidRDefault="00721CC4">
      <w:pPr>
        <w:spacing w:after="0" w:line="360" w:lineRule="auto"/>
      </w:pPr>
      <w:r>
        <w:t>本研究是对既有分子性质实验的回顾性审计。</w:t>
      </w:r>
      <w:r>
        <w:t>9</w:t>
      </w:r>
      <w:r>
        <w:t>个主要终点、候选顺序、</w:t>
      </w:r>
      <w:r>
        <w:t>K</w:t>
      </w:r>
      <w:r>
        <w:t>值、模型</w:t>
      </w:r>
      <w:r>
        <w:t>seed</w:t>
      </w:r>
      <w:r>
        <w:t>、划分逻辑、选择规则、结局和排除条件在所报告分析中保持不变。审计规范是在原始外层结果产生后重建的，因此不属于前瞻性预注册研究（图</w:t>
      </w:r>
      <w:r>
        <w:t>1</w:t>
      </w:r>
      <w:r>
        <w:t>）。</w:t>
      </w:r>
    </w:p>
    <w:p w14:paraId="5C3F3961" w14:textId="77777777" w:rsidR="00EE56A9" w:rsidRDefault="00721CC4">
      <w:pPr>
        <w:spacing w:after="0" w:line="360" w:lineRule="auto"/>
      </w:pPr>
      <w:r>
        <w:t>证据分为四层：</w:t>
      </w:r>
      <w:r>
        <w:t>32</w:t>
      </w:r>
      <w:r>
        <w:t>候选近重复传统模型池为主要审计；组成重采样和已知真值模拟用于机制解释；</w:t>
      </w:r>
      <w:r>
        <w:t>12</w:t>
      </w:r>
      <w:r>
        <w:t>候选多视图实验用于评估异质表征在相同公开终点上的可兑现收益；四模型逐样本预测、保形预测和化学边界分析用于可靠性限定。这些分析不合并为单一排行榜。</w:t>
      </w:r>
    </w:p>
    <w:p w14:paraId="00891469" w14:textId="77777777" w:rsidR="00EE56A9" w:rsidRDefault="00721CC4">
      <w:pPr>
        <w:pStyle w:val="21"/>
        <w:spacing w:line="360" w:lineRule="auto"/>
      </w:pPr>
      <w:r>
        <w:rPr>
          <w:rFonts w:ascii="Times New Roman" w:eastAsia="黑体" w:hAnsi="Times New Roman"/>
          <w:b w:val="0"/>
        </w:rPr>
        <w:t xml:space="preserve">2.2 </w:t>
      </w:r>
      <w:r>
        <w:rPr>
          <w:rFonts w:ascii="Times New Roman" w:eastAsia="黑体" w:hAnsi="Times New Roman"/>
          <w:b w:val="0"/>
        </w:rPr>
        <w:t>数据集与分子标准化</w:t>
      </w:r>
    </w:p>
    <w:p w14:paraId="25E0AF47" w14:textId="77777777" w:rsidR="00EE56A9" w:rsidRDefault="00721CC4">
      <w:pPr>
        <w:spacing w:after="0" w:line="360" w:lineRule="auto"/>
      </w:pPr>
      <w:r>
        <w:t>主要终点包括</w:t>
      </w:r>
      <w:r>
        <w:t>ESOL</w:t>
      </w:r>
      <w:r>
        <w:t>、</w:t>
      </w:r>
      <w:r>
        <w:t>FreeSolv</w:t>
      </w:r>
      <w:r>
        <w:t>、</w:t>
      </w:r>
      <w:r>
        <w:t>Lipophilicity</w:t>
      </w:r>
      <w:r>
        <w:t>、</w:t>
      </w:r>
      <w:r>
        <w:t>BBBP</w:t>
      </w:r>
      <w:r>
        <w:t>、</w:t>
      </w:r>
      <w:r>
        <w:t>BACE</w:t>
      </w:r>
      <w:r>
        <w:t>、</w:t>
      </w:r>
      <w:r>
        <w:t>ClinTox</w:t>
      </w:r>
      <w:r>
        <w:t>、</w:t>
      </w:r>
      <w:r>
        <w:t>Caco2 Wang</w:t>
      </w:r>
      <w:r>
        <w:t>、</w:t>
      </w:r>
      <w:r>
        <w:t>HIA Hou</w:t>
      </w:r>
      <w:r>
        <w:t>和</w:t>
      </w:r>
      <w:r>
        <w:t>P-gp Broccatelli</w:t>
      </w:r>
      <w:r>
        <w:t>。</w:t>
      </w:r>
      <w:r>
        <w:t>ESOL</w:t>
      </w:r>
      <w:r>
        <w:t>、</w:t>
      </w:r>
      <w:r>
        <w:t>FreeSolv</w:t>
      </w:r>
      <w:r>
        <w:t>、</w:t>
      </w:r>
      <w:r>
        <w:t>Lipophilicity</w:t>
      </w:r>
      <w:r>
        <w:t>和</w:t>
      </w:r>
      <w:r>
        <w:t>Caco2</w:t>
      </w:r>
      <w:r>
        <w:t>使用</w:t>
      </w:r>
      <w:r>
        <w:t>RMSE</w:t>
      </w:r>
      <w:r>
        <w:t>，其余分类终点使用</w:t>
      </w:r>
      <w:r>
        <w:t>ROC-AUC</w:t>
      </w:r>
      <w:r>
        <w:t>作为主要选择效用。</w:t>
      </w:r>
      <w:r>
        <w:t>PR-AUC</w:t>
      </w:r>
      <w:r>
        <w:t>、</w:t>
      </w:r>
      <w:r>
        <w:t>Brier</w:t>
      </w:r>
      <w:r>
        <w:t>分数、期望校准误差和少数类召回仅用于可靠性分析。</w:t>
      </w:r>
    </w:p>
    <w:p w14:paraId="37B0F3F0" w14:textId="77777777" w:rsidR="00EE56A9" w:rsidRDefault="00721CC4">
      <w:pPr>
        <w:spacing w:after="0" w:line="360" w:lineRule="auto"/>
      </w:pPr>
      <w:r>
        <w:t>分子使用</w:t>
      </w:r>
      <w:r>
        <w:t>RDKit</w:t>
      </w:r>
      <w:r>
        <w:t>解析并按端点级固定规则标准化；保留最大有效片段，执行化学合理的电荷规范化，并保留立体信息。插补、缩放及其他拟合变换仅在相应训练折上估计。分类重复结构仅在标签一致时合并，冲突标签删除；回归重复标签取平均并记录重复数。</w:t>
      </w:r>
      <w:r>
        <w:t>ClinTox</w:t>
      </w:r>
      <w:r>
        <w:t>清洗后含</w:t>
      </w:r>
      <w:r>
        <w:t>1,376</w:t>
      </w:r>
      <w:r>
        <w:t>个结构，其中</w:t>
      </w:r>
      <w:r>
        <w:t>58</w:t>
      </w:r>
      <w:r>
        <w:t>个为阳性。数据集摘要见表</w:t>
      </w:r>
      <w:r>
        <w:t>1</w:t>
      </w:r>
      <w:r>
        <w:t>。</w:t>
      </w:r>
    </w:p>
    <w:p w14:paraId="1A8B058F" w14:textId="77777777" w:rsidR="00EE56A9" w:rsidRDefault="00721CC4">
      <w:pPr>
        <w:pStyle w:val="21"/>
        <w:spacing w:line="360" w:lineRule="auto"/>
      </w:pPr>
      <w:r>
        <w:rPr>
          <w:rFonts w:ascii="Times New Roman" w:eastAsia="黑体" w:hAnsi="Times New Roman"/>
          <w:b w:val="0"/>
        </w:rPr>
        <w:t xml:space="preserve">2.3 </w:t>
      </w:r>
      <w:r>
        <w:rPr>
          <w:rFonts w:ascii="Times New Roman" w:eastAsia="黑体" w:hAnsi="Times New Roman"/>
          <w:b w:val="0"/>
        </w:rPr>
        <w:t>候选登记表与计算暴露</w:t>
      </w:r>
    </w:p>
    <w:p w14:paraId="62610621" w14:textId="77777777" w:rsidR="00EE56A9" w:rsidRDefault="00721CC4">
      <w:pPr>
        <w:spacing w:after="0" w:line="360" w:lineRule="auto"/>
      </w:pPr>
      <w:r>
        <w:t>受控扩张登记表含</w:t>
      </w:r>
      <w:r>
        <w:t>32</w:t>
      </w:r>
      <w:r>
        <w:t>个共享</w:t>
      </w:r>
      <w:r>
        <w:t>Morgan-512</w:t>
      </w:r>
      <w:r>
        <w:t>表征的候选。</w:t>
      </w:r>
      <w:r>
        <w:t>K=4</w:t>
      </w:r>
      <w:r>
        <w:t>、</w:t>
      </w:r>
      <w:r>
        <w:t>8</w:t>
      </w:r>
      <w:r>
        <w:t>、</w:t>
      </w:r>
      <w:r>
        <w:t>16</w:t>
      </w:r>
      <w:r>
        <w:t>和</w:t>
      </w:r>
      <w:r>
        <w:t>32</w:t>
      </w:r>
      <w:r>
        <w:t>为预先固定的候选顺序前缀，依次加入正则化线性、袋装树和多类提升模型。顺序未根据外层表现重排。</w:t>
      </w:r>
    </w:p>
    <w:p w14:paraId="3F350F42" w14:textId="77777777" w:rsidR="00EE56A9" w:rsidRDefault="00721CC4">
      <w:pPr>
        <w:spacing w:after="0" w:line="360" w:lineRule="auto"/>
      </w:pPr>
      <w:r>
        <w:t>每个候选在不同</w:t>
      </w:r>
      <w:r>
        <w:t>K</w:t>
      </w:r>
      <w:r>
        <w:t>下使用相同预处理、内层折和重拟合逻辑，但总搜索暴露随</w:t>
      </w:r>
      <w:r>
        <w:t>K</w:t>
      </w:r>
      <w:r>
        <w:t>增加。受控审计记录</w:t>
      </w:r>
      <w:r>
        <w:t>17,280</w:t>
      </w:r>
      <w:r>
        <w:t>次候选拟合和</w:t>
      </w:r>
      <w:r>
        <w:t>4,437.95</w:t>
      </w:r>
      <w:r>
        <w:t>候选拟合秒。校准与组成控制复用已存结果，</w:t>
      </w:r>
      <w:r>
        <w:lastRenderedPageBreak/>
        <w:t>不需要额外模型拟合。等规模登记表干预记录</w:t>
      </w:r>
      <w:r>
        <w:t>270</w:t>
      </w:r>
      <w:r>
        <w:t>个外层审计单元及单元级下游时间，未重构总拟合数。不同分析的暴露量不能直接互换；摘要见表</w:t>
      </w:r>
      <w:r>
        <w:t>2</w:t>
      </w:r>
      <w:r>
        <w:t>，完整配置见表</w:t>
      </w:r>
      <w:r>
        <w:t>S2-S3</w:t>
      </w:r>
      <w:r>
        <w:t>及</w:t>
      </w:r>
      <w:r>
        <w:t>S28-S30</w:t>
      </w:r>
      <w:r>
        <w:t>。</w:t>
      </w:r>
    </w:p>
    <w:p w14:paraId="719726B3" w14:textId="77777777" w:rsidR="00EE56A9" w:rsidRDefault="00721CC4">
      <w:pPr>
        <w:pStyle w:val="21"/>
        <w:spacing w:line="360" w:lineRule="auto"/>
      </w:pPr>
      <w:r>
        <w:rPr>
          <w:rFonts w:ascii="Times New Roman" w:eastAsia="黑体" w:hAnsi="Times New Roman"/>
          <w:b w:val="0"/>
        </w:rPr>
        <w:t xml:space="preserve">2.4 </w:t>
      </w:r>
      <w:r>
        <w:rPr>
          <w:rFonts w:ascii="Times New Roman" w:eastAsia="黑体" w:hAnsi="Times New Roman"/>
          <w:b w:val="0"/>
        </w:rPr>
        <w:t>重复嵌套骨架评估</w:t>
      </w:r>
    </w:p>
    <w:p w14:paraId="4EB4850E" w14:textId="77777777" w:rsidR="00EE56A9" w:rsidRDefault="00721CC4">
      <w:pPr>
        <w:spacing w:after="0" w:line="360" w:lineRule="auto"/>
      </w:pPr>
      <w:r>
        <w:t>划分</w:t>
      </w:r>
      <w:r>
        <w:t>seed</w:t>
      </w:r>
      <w:r>
        <w:t>为</w:t>
      </w:r>
      <w:r>
        <w:t>11</w:t>
      </w:r>
      <w:r>
        <w:t>、</w:t>
      </w:r>
      <w:r>
        <w:t>23</w:t>
      </w:r>
      <w:r>
        <w:t>、</w:t>
      </w:r>
      <w:r>
        <w:t>37</w:t>
      </w:r>
      <w:r>
        <w:t>、</w:t>
      </w:r>
      <w:r>
        <w:t>53</w:t>
      </w:r>
      <w:r>
        <w:t>和</w:t>
      </w:r>
      <w:r>
        <w:t>71</w:t>
      </w:r>
      <w:r>
        <w:t>。分类与回归终点均生成</w:t>
      </w:r>
      <w:r>
        <w:t>5</w:t>
      </w:r>
      <w:r>
        <w:t>套真正不同的骨架划分；每套含</w:t>
      </w:r>
      <w:r>
        <w:t>3</w:t>
      </w:r>
      <w:r>
        <w:t>个外层骨架折，并在每个外层训练分区内生成</w:t>
      </w:r>
      <w:r>
        <w:t>3</w:t>
      </w:r>
      <w:r>
        <w:t>个内层骨架折。</w:t>
      </w:r>
      <w:r>
        <w:t>Bemis–Murcko</w:t>
      </w:r>
      <w:r>
        <w:t>骨架组保持完整，分配使用</w:t>
      </w:r>
      <w:r>
        <w:t>seed</w:t>
      </w:r>
      <w:r>
        <w:t>相关的随机并列处理并尽量平衡样本数，且不依据模型性能选择划分。</w:t>
      </w:r>
    </w:p>
    <w:p w14:paraId="7E6156CE" w14:textId="77777777" w:rsidR="00EE56A9" w:rsidRDefault="00721CC4">
      <w:pPr>
        <w:spacing w:after="0" w:line="360" w:lineRule="auto"/>
      </w:pPr>
      <w:r>
        <w:t>验证最优选择器按平均内层效用排序候选，分类效用为</w:t>
      </w:r>
      <w:r>
        <w:t>ROC-AUC</w:t>
      </w:r>
      <w:r>
        <w:t>，回归效用为负</w:t>
      </w:r>
      <w:r>
        <w:t>RMSE</w:t>
      </w:r>
      <w:r>
        <w:t>；并列时按登记顺序决定。候选在完整外层训练分区重拟合后仅在外层折评估一次。完整划分清单记录样本数、骨架数、标签均值</w:t>
      </w:r>
      <w:r>
        <w:t>/</w:t>
      </w:r>
      <w:r>
        <w:t>标准差</w:t>
      </w:r>
      <w:r>
        <w:t>/</w:t>
      </w:r>
      <w:r>
        <w:t>范围、</w:t>
      </w:r>
      <w:r>
        <w:t>split hash</w:t>
      </w:r>
      <w:r>
        <w:t>及无跨折骨架重叠检查。</w:t>
      </w:r>
    </w:p>
    <w:p w14:paraId="774C0C2D" w14:textId="77777777" w:rsidR="00EE56A9" w:rsidRDefault="00721CC4">
      <w:pPr>
        <w:pStyle w:val="21"/>
        <w:spacing w:line="360" w:lineRule="auto"/>
      </w:pPr>
      <w:r>
        <w:rPr>
          <w:rFonts w:ascii="Times New Roman" w:eastAsia="黑体" w:hAnsi="Times New Roman"/>
          <w:b w:val="0"/>
        </w:rPr>
        <w:t xml:space="preserve">2.5 </w:t>
      </w:r>
      <w:r>
        <w:rPr>
          <w:rFonts w:ascii="Times New Roman" w:eastAsia="黑体" w:hAnsi="Times New Roman"/>
          <w:b w:val="0"/>
        </w:rPr>
        <w:t>审计差距与排序估计量</w:t>
      </w:r>
    </w:p>
    <w:p w14:paraId="3B7C178E" w14:textId="77777777" w:rsidR="00EE56A9" w:rsidRDefault="00721CC4">
      <w:pPr>
        <w:spacing w:after="0" w:line="360" w:lineRule="auto"/>
      </w:pPr>
      <w:r>
        <w:t>对外层单元</w:t>
      </w:r>
      <w:r>
        <w:t>u</w:t>
      </w:r>
      <w:r>
        <w:t>和候选池</w:t>
      </w:r>
      <w:r>
        <w:t>C_K</w:t>
      </w:r>
      <w:r>
        <w:t>，内层平均效用记为</w:t>
      </w:r>
      <w:r>
        <w:t>V_uj</w:t>
      </w:r>
      <w:r>
        <w:t>，外层效用记为</w:t>
      </w:r>
      <w:r>
        <w:t>A_uj</w:t>
      </w:r>
      <w:r>
        <w:t>。验证选择候选为</w:t>
      </w:r>
      <w:r>
        <w:t>s_u=argmax_j V_uj</w:t>
      </w:r>
      <w:r>
        <w:t>，有限外层最佳候选为</w:t>
      </w:r>
      <w:r>
        <w:t>b_u=argmax_j A_uj</w:t>
      </w:r>
      <w:r>
        <w:t>。原始选择损失</w:t>
      </w:r>
      <w:r>
        <w:t>L_u(K)=A_u,b_u−A_u,s_u</w:t>
      </w:r>
      <w:r>
        <w:t>；分类中为</w:t>
      </w:r>
      <w:r>
        <w:t>ROC-AUC</w:t>
      </w:r>
      <w:r>
        <w:t>差，回归中对应</w:t>
      </w:r>
      <w:r>
        <w:t>RMSE</w:t>
      </w:r>
      <w:r>
        <w:t>增加。</w:t>
      </w:r>
    </w:p>
    <w:p w14:paraId="22A06A25" w14:textId="77777777" w:rsidR="00EE56A9" w:rsidRDefault="00721CC4">
      <w:pPr>
        <w:spacing w:after="0" w:line="360" w:lineRule="auto"/>
      </w:pPr>
      <w:r>
        <w:t>Top-3</w:t>
      </w:r>
      <w:r>
        <w:t>恢复使用</w:t>
      </w:r>
      <w:r>
        <w:t>CAHit@3=(Hit@3−3/K)/(1−3/K)</w:t>
      </w:r>
      <w:r>
        <w:t>进行机会校正。</w:t>
      </w:r>
      <w:r>
        <w:t>MRR</w:t>
      </w:r>
      <w:r>
        <w:t>以随机排序期望</w:t>
      </w:r>
      <w:r>
        <w:t>H_K/K</w:t>
      </w:r>
      <w:r>
        <w:t>校正。排序指标先在每个划分</w:t>
      </w:r>
      <w:r>
        <w:t>seed</w:t>
      </w:r>
      <w:r>
        <w:t>内平均</w:t>
      </w:r>
      <w:r>
        <w:t>3</w:t>
      </w:r>
      <w:r>
        <w:t>个外层折，再在每个终点内平均</w:t>
      </w:r>
      <w:r>
        <w:t>5</w:t>
      </w:r>
      <w:r>
        <w:t>个</w:t>
      </w:r>
      <w:r>
        <w:t>seed</w:t>
      </w:r>
      <w:r>
        <w:t>，最后以</w:t>
      </w:r>
      <w:r>
        <w:t>9</w:t>
      </w:r>
      <w:r>
        <w:t>个终点的中位数和</w:t>
      </w:r>
      <w:r>
        <w:t>IQR</w:t>
      </w:r>
      <w:r>
        <w:t>作为主汇总；同时报告</w:t>
      </w:r>
      <w:r>
        <w:t>NDCG</w:t>
      </w:r>
      <w:r>
        <w:t>、</w:t>
      </w:r>
      <w:r>
        <w:t>Spearman</w:t>
      </w:r>
      <w:r>
        <w:t>、</w:t>
      </w:r>
      <w:r>
        <w:t>Kendall</w:t>
      </w:r>
      <w:r>
        <w:t>和外层最佳候选的验证秩百分位。分类与回归始终分轴报告，不合并不同单位。</w:t>
      </w:r>
    </w:p>
    <w:p w14:paraId="7F14D2D2" w14:textId="77777777" w:rsidR="00EE56A9" w:rsidRDefault="00721CC4">
      <w:pPr>
        <w:spacing w:after="0" w:line="360" w:lineRule="auto"/>
      </w:pPr>
      <w:r>
        <w:t>置换负对照在每个锁定外层单元内随机抽取候选秩，执行</w:t>
      </w:r>
      <w:r>
        <w:t>5,000</w:t>
      </w:r>
      <w:r>
        <w:t>次重复，并采用与真实分析完全相同的折</w:t>
      </w:r>
      <w:r>
        <w:t>—seed—</w:t>
      </w:r>
      <w:r>
        <w:t>终点聚合。分级正对照使用</w:t>
      </w:r>
      <w:r>
        <w:t>135</w:t>
      </w:r>
      <w:r>
        <w:t>个审计单元中的</w:t>
      </w:r>
      <w:r>
        <w:t>4,320</w:t>
      </w:r>
      <w:r>
        <w:t>条锁定外层候选效用，注入</w:t>
      </w:r>
      <w:r>
        <w:t>0</w:t>
      </w:r>
      <w:r>
        <w:t>、</w:t>
      </w:r>
      <w:r>
        <w:t>0.10</w:t>
      </w:r>
      <w:r>
        <w:t>、</w:t>
      </w:r>
      <w:r>
        <w:t>0.25</w:t>
      </w:r>
      <w:r>
        <w:t>、</w:t>
      </w:r>
      <w:r>
        <w:t>0.50</w:t>
      </w:r>
      <w:r>
        <w:t>、</w:t>
      </w:r>
      <w:r>
        <w:t>0.75</w:t>
      </w:r>
      <w:r>
        <w:t>和</w:t>
      </w:r>
      <w:r>
        <w:t>1.0</w:t>
      </w:r>
      <w:r>
        <w:t>六级验证</w:t>
      </w:r>
      <w:r>
        <w:t>—</w:t>
      </w:r>
      <w:r>
        <w:t>审计信号；除完全信号外，每个配置模拟</w:t>
      </w:r>
      <w:r>
        <w:t>500</w:t>
      </w:r>
      <w:r>
        <w:t>次。对照仅校准指标零点和信号恢复，不改变真实候选选择。</w:t>
      </w:r>
    </w:p>
    <w:p w14:paraId="5CE8CA22" w14:textId="77777777" w:rsidR="00EE56A9" w:rsidRDefault="00721CC4">
      <w:pPr>
        <w:pStyle w:val="21"/>
        <w:spacing w:line="360" w:lineRule="auto"/>
      </w:pPr>
      <w:r>
        <w:rPr>
          <w:rFonts w:ascii="Times New Roman" w:eastAsia="黑体" w:hAnsi="Times New Roman"/>
          <w:b w:val="0"/>
        </w:rPr>
        <w:lastRenderedPageBreak/>
        <w:t xml:space="preserve">2.6 </w:t>
      </w:r>
      <w:r>
        <w:rPr>
          <w:rFonts w:ascii="Times New Roman" w:eastAsia="黑体" w:hAnsi="Times New Roman"/>
          <w:b w:val="0"/>
        </w:rPr>
        <w:t>有效多样性估计</w:t>
      </w:r>
    </w:p>
    <w:p w14:paraId="699F6054" w14:textId="77777777" w:rsidR="00EE56A9" w:rsidRDefault="00721CC4">
      <w:pPr>
        <w:spacing w:after="0" w:line="360" w:lineRule="auto"/>
      </w:pPr>
      <w:r>
        <w:t>对每个终点和</w:t>
      </w:r>
      <w:r>
        <w:t>K</w:t>
      </w:r>
      <w:r>
        <w:t>构建候选效用矩阵，分别分析原始效用、逐行中心化效用、固定参照差值效用和单元内秩。逐行中心化用于去除共同审计单元难度；固定参照和秩矩阵用于检验候选相对模式。</w:t>
      </w:r>
    </w:p>
    <w:p w14:paraId="223F5886" w14:textId="77777777" w:rsidR="00EE56A9" w:rsidRDefault="00721CC4">
      <w:pPr>
        <w:spacing w:after="0" w:line="360" w:lineRule="auto"/>
      </w:pPr>
      <w:r>
        <w:t>报告经验相关谱、</w:t>
      </w:r>
      <w:r>
        <w:t>Ledoit–Wolf</w:t>
      </w:r>
      <w:r>
        <w:t>收缩相关谱、谱熵有效秩、参与率有效秩和非对角相关中位数。使用固定</w:t>
      </w:r>
      <w:r>
        <w:t>seed 20260713</w:t>
      </w:r>
      <w:r>
        <w:t>执行</w:t>
      </w:r>
      <w:r>
        <w:t>5,000</w:t>
      </w:r>
      <w:r>
        <w:t>次层级</w:t>
      </w:r>
      <w:r>
        <w:t>bootstrap</w:t>
      </w:r>
      <w:r>
        <w:t>，并报告</w:t>
      </w:r>
      <w:r>
        <w:t>Monte Carlo</w:t>
      </w:r>
      <w:r>
        <w:t>稳定性、留一</w:t>
      </w:r>
      <w:r>
        <w:t>seed</w:t>
      </w:r>
      <w:r>
        <w:t>范围、留一</w:t>
      </w:r>
      <w:r>
        <w:t>fold</w:t>
      </w:r>
      <w:r>
        <w:t>范围及预先指定参照敏感性。跨终点主汇总采用中位数、</w:t>
      </w:r>
      <w:r>
        <w:t>IQR</w:t>
      </w:r>
      <w:r>
        <w:t>和范围，不把</w:t>
      </w:r>
      <w:r>
        <w:t>9</w:t>
      </w:r>
      <w:r>
        <w:t>个终点视为总体随机样本，也不提供总体推断性置信区间。</w:t>
      </w:r>
    </w:p>
    <w:p w14:paraId="7333D6A2" w14:textId="77777777" w:rsidR="00EE56A9" w:rsidRDefault="00721CC4">
      <w:pPr>
        <w:pStyle w:val="21"/>
        <w:spacing w:line="360" w:lineRule="auto"/>
      </w:pPr>
      <w:r>
        <w:rPr>
          <w:rFonts w:ascii="Times New Roman" w:eastAsia="黑体" w:hAnsi="Times New Roman"/>
          <w:b w:val="0"/>
        </w:rPr>
        <w:t xml:space="preserve">2.7 </w:t>
      </w:r>
      <w:r>
        <w:rPr>
          <w:rFonts w:ascii="Times New Roman" w:eastAsia="黑体" w:hAnsi="Times New Roman"/>
          <w:b w:val="0"/>
        </w:rPr>
        <w:t>候选组成控制</w:t>
      </w:r>
    </w:p>
    <w:p w14:paraId="26BDE968" w14:textId="77777777" w:rsidR="00EE56A9" w:rsidRDefault="00721CC4">
      <w:pPr>
        <w:spacing w:after="0" w:line="360" w:lineRule="auto"/>
      </w:pPr>
      <w:r>
        <w:t>随机顺序、随机子集和家族平衡控制用于判断</w:t>
      </w:r>
      <w:r>
        <w:t>K</w:t>
      </w:r>
      <w:r>
        <w:t>趋势是否由特定前缀组成驱动。每种模式在终点内汇总，随机化</w:t>
      </w:r>
      <w:r>
        <w:t>seed</w:t>
      </w:r>
      <w:r>
        <w:t>仅为重采样装置，不作为独立终点。</w:t>
      </w:r>
      <w:r>
        <w:t>K=32</w:t>
      </w:r>
      <w:r>
        <w:t>时各模式均等于完整候选池。</w:t>
      </w:r>
    </w:p>
    <w:p w14:paraId="5EB00BA1" w14:textId="77777777" w:rsidR="00EE56A9" w:rsidRDefault="00721CC4">
      <w:pPr>
        <w:pStyle w:val="21"/>
        <w:spacing w:line="360" w:lineRule="auto"/>
      </w:pPr>
      <w:r>
        <w:rPr>
          <w:rFonts w:ascii="Times New Roman" w:eastAsia="黑体" w:hAnsi="Times New Roman"/>
          <w:b w:val="0"/>
        </w:rPr>
        <w:t xml:space="preserve">2.8 </w:t>
      </w:r>
      <w:r>
        <w:rPr>
          <w:rFonts w:ascii="Times New Roman" w:eastAsia="黑体" w:hAnsi="Times New Roman"/>
          <w:b w:val="0"/>
        </w:rPr>
        <w:t>交叉拟合审计参照</w:t>
      </w:r>
    </w:p>
    <w:p w14:paraId="22BAF8F4" w14:textId="77777777" w:rsidR="00EE56A9" w:rsidRDefault="00721CC4">
      <w:pPr>
        <w:spacing w:after="0" w:line="360" w:lineRule="auto"/>
      </w:pPr>
      <w:r>
        <w:t>对每个终点、</w:t>
      </w:r>
      <w:r>
        <w:t>K</w:t>
      </w:r>
      <w:r>
        <w:t>和留出</w:t>
      </w:r>
      <w:r>
        <w:t>seed</w:t>
      </w:r>
      <w:r>
        <w:t>，在其他</w:t>
      </w:r>
      <w:r>
        <w:t>4</w:t>
      </w:r>
      <w:r>
        <w:t>个</w:t>
      </w:r>
      <w:r>
        <w:t>seed</w:t>
      </w:r>
      <w:r>
        <w:t>上计算候选平均外层效用并固定最高者作为参照，再在留出</w:t>
      </w:r>
      <w:r>
        <w:t>seed</w:t>
      </w:r>
      <w:r>
        <w:t>的</w:t>
      </w:r>
      <w:r>
        <w:t>3</w:t>
      </w:r>
      <w:r>
        <w:t>个折上评估。交叉拟合差距为参照效用减验证所选效用；同一单元差距使用该折内最大候选效用。该参照降低了同一折上定义和评估最大值的循环性，但仍复用同一公开终点，不能视为外部验证。</w:t>
      </w:r>
    </w:p>
    <w:p w14:paraId="79ED7DD5" w14:textId="77777777" w:rsidR="00EE56A9" w:rsidRDefault="00721CC4">
      <w:pPr>
        <w:pStyle w:val="21"/>
        <w:spacing w:line="360" w:lineRule="auto"/>
      </w:pPr>
      <w:r>
        <w:rPr>
          <w:rFonts w:ascii="Times New Roman" w:eastAsia="黑体" w:hAnsi="Times New Roman"/>
          <w:b w:val="0"/>
        </w:rPr>
        <w:t xml:space="preserve">2.9 </w:t>
      </w:r>
      <w:r>
        <w:rPr>
          <w:rFonts w:ascii="Times New Roman" w:eastAsia="黑体" w:hAnsi="Times New Roman"/>
          <w:b w:val="0"/>
        </w:rPr>
        <w:t>有限审计赢家乐观偏差模拟</w:t>
      </w:r>
    </w:p>
    <w:p w14:paraId="27014260" w14:textId="77777777" w:rsidR="00EE56A9" w:rsidRDefault="00721CC4">
      <w:pPr>
        <w:spacing w:after="0" w:line="360" w:lineRule="auto"/>
      </w:pPr>
      <w:r>
        <w:t>在所有候选真实标准化效用相同的情形下，模拟相关高斯审计误差。</w:t>
      </w:r>
      <w:r>
        <w:t>K</w:t>
      </w:r>
      <w:r>
        <w:t>取</w:t>
      </w:r>
      <w:r>
        <w:t>4</w:t>
      </w:r>
      <w:r>
        <w:t>、</w:t>
      </w:r>
      <w:r>
        <w:t>8</w:t>
      </w:r>
      <w:r>
        <w:t>、</w:t>
      </w:r>
      <w:r>
        <w:t>16</w:t>
      </w:r>
      <w:r>
        <w:t>、</w:t>
      </w:r>
      <w:r>
        <w:t>32</w:t>
      </w:r>
      <w:r>
        <w:t>，有效审计量取</w:t>
      </w:r>
      <w:r>
        <w:t>25</w:t>
      </w:r>
      <w:r>
        <w:t>、</w:t>
      </w:r>
      <w:r>
        <w:t>50</w:t>
      </w:r>
      <w:r>
        <w:t>、</w:t>
      </w:r>
      <w:r>
        <w:t>100</w:t>
      </w:r>
      <w:r>
        <w:t>、</w:t>
      </w:r>
      <w:r>
        <w:t>200</w:t>
      </w:r>
      <w:r>
        <w:t>，候选相关取</w:t>
      </w:r>
      <w:r>
        <w:t>0</w:t>
      </w:r>
      <w:r>
        <w:t>、</w:t>
      </w:r>
      <w:r>
        <w:t>0.5</w:t>
      </w:r>
      <w:r>
        <w:t>、</w:t>
      </w:r>
      <w:r>
        <w:t>0.9</w:t>
      </w:r>
      <w:r>
        <w:t>，每个配置</w:t>
      </w:r>
      <w:r>
        <w:t>30,000</w:t>
      </w:r>
      <w:r>
        <w:t>次重复。赢家乐观偏差定义为最大观测效用减相应候选真实效用。该模拟仅说明有限最大值的机械性质，不用于校正真实终点。</w:t>
      </w:r>
    </w:p>
    <w:p w14:paraId="765C2939" w14:textId="77777777" w:rsidR="00EE56A9" w:rsidRDefault="00721CC4">
      <w:pPr>
        <w:pStyle w:val="21"/>
        <w:spacing w:line="360" w:lineRule="auto"/>
      </w:pPr>
      <w:r>
        <w:rPr>
          <w:rFonts w:ascii="Times New Roman" w:eastAsia="黑体" w:hAnsi="Times New Roman"/>
          <w:b w:val="0"/>
        </w:rPr>
        <w:lastRenderedPageBreak/>
        <w:t xml:space="preserve">2.10 </w:t>
      </w:r>
      <w:r>
        <w:rPr>
          <w:rFonts w:ascii="Times New Roman" w:eastAsia="黑体" w:hAnsi="Times New Roman"/>
          <w:b w:val="0"/>
        </w:rPr>
        <w:t>等规模多视图压力测试</w:t>
      </w:r>
    </w:p>
    <w:p w14:paraId="48A6736E" w14:textId="77777777" w:rsidR="00EE56A9" w:rsidRDefault="00721CC4">
      <w:pPr>
        <w:spacing w:after="0" w:line="360" w:lineRule="auto"/>
      </w:pPr>
      <w:r>
        <w:t>12</w:t>
      </w:r>
      <w:r>
        <w:t>候选登记表由</w:t>
      </w:r>
      <w:r>
        <w:t>Morgan-512</w:t>
      </w:r>
      <w:r>
        <w:t>、</w:t>
      </w:r>
      <w:r>
        <w:t>MACCS</w:t>
      </w:r>
      <w:r>
        <w:t>、</w:t>
      </w:r>
      <w:r>
        <w:t>RDKit2D</w:t>
      </w:r>
      <w:r>
        <w:t>及其拼接表征与</w:t>
      </w:r>
      <w:r>
        <w:t>3</w:t>
      </w:r>
      <w:r>
        <w:t>类学习器交叉组成。利用候选级内外层效用，完整枚举</w:t>
      </w:r>
      <w:r>
        <w:t>C(12,3)=220</w:t>
      </w:r>
      <w:r>
        <w:t>个</w:t>
      </w:r>
      <w:r>
        <w:t>K=3</w:t>
      </w:r>
      <w:r>
        <w:t>子集，无需重新训练。全部子集属于同一登记表的组成敏感性分析，并非</w:t>
      </w:r>
      <w:r>
        <w:t>220</w:t>
      </w:r>
      <w:r>
        <w:t>次独立实验。</w:t>
      </w:r>
    </w:p>
    <w:p w14:paraId="34A72964" w14:textId="77777777" w:rsidR="00EE56A9" w:rsidRDefault="00721CC4">
      <w:pPr>
        <w:spacing w:after="0" w:line="360" w:lineRule="auto"/>
      </w:pPr>
      <w:r>
        <w:t>子集采用互斥组成分类：</w:t>
      </w:r>
      <w:r>
        <w:t>Morgan-only</w:t>
      </w:r>
      <w:r>
        <w:t>参照、仅单一表征、仅单一学习器、无拼接的表征平衡、含拼接的表征平衡及混合不平衡。每个终点报告中位数、</w:t>
      </w:r>
      <w:r>
        <w:t>IQR</w:t>
      </w:r>
      <w:r>
        <w:t>、分布范围和优于</w:t>
      </w:r>
      <w:r>
        <w:t>Morgan-only</w:t>
      </w:r>
      <w:r>
        <w:t>的子集比例，不计算把</w:t>
      </w:r>
      <w:r>
        <w:t>220</w:t>
      </w:r>
      <w:r>
        <w:t>个重叠子集当作独立样本的</w:t>
      </w:r>
      <w:r>
        <w:t>P</w:t>
      </w:r>
      <w:r>
        <w:t>值。</w:t>
      </w:r>
    </w:p>
    <w:p w14:paraId="0BEBA06C" w14:textId="77777777" w:rsidR="00EE56A9" w:rsidRDefault="00721CC4">
      <w:pPr>
        <w:pStyle w:val="21"/>
        <w:spacing w:line="360" w:lineRule="auto"/>
      </w:pPr>
      <w:r>
        <w:rPr>
          <w:rFonts w:ascii="Times New Roman" w:eastAsia="黑体" w:hAnsi="Times New Roman"/>
          <w:b w:val="0"/>
        </w:rPr>
        <w:t xml:space="preserve">2.11 </w:t>
      </w:r>
      <w:r>
        <w:rPr>
          <w:rFonts w:ascii="Times New Roman" w:eastAsia="黑体" w:hAnsi="Times New Roman"/>
          <w:b w:val="0"/>
        </w:rPr>
        <w:t>有限表征基线分析</w:t>
      </w:r>
    </w:p>
    <w:p w14:paraId="69760076" w14:textId="77777777" w:rsidR="00EE56A9" w:rsidRDefault="00721CC4">
      <w:pPr>
        <w:spacing w:after="0" w:line="360" w:lineRule="auto"/>
      </w:pPr>
      <w:r>
        <w:t>六终点四模型面板包括</w:t>
      </w:r>
      <w:r>
        <w:t>RDKit-RF</w:t>
      </w:r>
      <w:r>
        <w:t>、</w:t>
      </w:r>
      <w:r>
        <w:t>GCN</w:t>
      </w:r>
      <w:r>
        <w:t>、</w:t>
      </w:r>
      <w:r>
        <w:t>ChemBERTa</w:t>
      </w:r>
      <w:r>
        <w:t>冻结嵌入线性探针和</w:t>
      </w:r>
      <w:r>
        <w:t>MoLFormer</w:t>
      </w:r>
      <w:r>
        <w:t>冻结嵌入线性探针。各模型训练预算并不等同，因此该面板仅用于共享划分下的选择行为、预测相关和错误互补性，不用于比较充分调优的现代架构。</w:t>
      </w:r>
    </w:p>
    <w:p w14:paraId="6EFC95AB" w14:textId="77777777" w:rsidR="00EE56A9" w:rsidRDefault="00721CC4">
      <w:pPr>
        <w:pStyle w:val="21"/>
        <w:spacing w:line="360" w:lineRule="auto"/>
      </w:pPr>
      <w:r>
        <w:rPr>
          <w:rFonts w:ascii="Times New Roman" w:eastAsia="黑体" w:hAnsi="Times New Roman"/>
          <w:b w:val="0"/>
        </w:rPr>
        <w:t xml:space="preserve">2.12 </w:t>
      </w:r>
      <w:r>
        <w:rPr>
          <w:rFonts w:ascii="Times New Roman" w:eastAsia="黑体" w:hAnsi="Times New Roman"/>
          <w:b w:val="0"/>
        </w:rPr>
        <w:t>可靠性与化学边界分析</w:t>
      </w:r>
    </w:p>
    <w:p w14:paraId="6B06A30D" w14:textId="77777777" w:rsidR="00EE56A9" w:rsidRDefault="00721CC4">
      <w:pPr>
        <w:spacing w:after="0" w:line="360" w:lineRule="auto"/>
      </w:pPr>
      <w:r>
        <w:t>逐样本预测按最大训练集</w:t>
      </w:r>
      <w:r>
        <w:t>Morgan Tanimoto</w:t>
      </w:r>
      <w:r>
        <w:t>划分为低支持</w:t>
      </w:r>
      <w:r>
        <w:t>(&lt;0.5)</w:t>
      </w:r>
      <w:r>
        <w:t>、中支持</w:t>
      </w:r>
      <w:r>
        <w:t>(0.5</w:t>
      </w:r>
      <w:r>
        <w:t>至</w:t>
      </w:r>
      <w:r>
        <w:t>&lt;0.7)</w:t>
      </w:r>
      <w:r>
        <w:t>和高支持</w:t>
      </w:r>
      <w:r>
        <w:t>(≥0.7)</w:t>
      </w:r>
      <w:r>
        <w:t>。每个区间比较所选模型和交叉拟合参照性能、错误</w:t>
      </w:r>
      <w:r>
        <w:t>Jaccard</w:t>
      </w:r>
      <w:r>
        <w:t>重叠、模型分歧、不确定性</w:t>
      </w:r>
      <w:r>
        <w:t>—</w:t>
      </w:r>
      <w:r>
        <w:t>错误相关和假阴性富集。</w:t>
      </w:r>
    </w:p>
    <w:p w14:paraId="78AA1325" w14:textId="77777777" w:rsidR="00EE56A9" w:rsidRDefault="00721CC4">
      <w:pPr>
        <w:spacing w:after="0" w:line="360" w:lineRule="auto"/>
      </w:pPr>
      <w:r>
        <w:t>外层精确</w:t>
      </w:r>
      <w:r>
        <w:t>Murcko</w:t>
      </w:r>
      <w:r>
        <w:t>骨架按设计均未见，因此采用预先固定的骨架指纹最大相似度</w:t>
      </w:r>
      <w:r>
        <w:t>0.5</w:t>
      </w:r>
      <w:r>
        <w:t>阈值区分</w:t>
      </w:r>
      <w:r>
        <w:t>‘</w:t>
      </w:r>
      <w:r>
        <w:t>已见或相关骨架</w:t>
      </w:r>
      <w:r>
        <w:t>’</w:t>
      </w:r>
      <w:r>
        <w:t>与</w:t>
      </w:r>
      <w:r>
        <w:t>‘</w:t>
      </w:r>
      <w:r>
        <w:t>新颖骨架</w:t>
      </w:r>
      <w:r>
        <w:t>’</w:t>
      </w:r>
      <w:r>
        <w:t>。四模型面板还计算预测矩阵和误差矩阵的相关性、谱熵有效秩和参与率有效秩，不外推至</w:t>
      </w:r>
      <w:r>
        <w:t>32</w:t>
      </w:r>
      <w:r>
        <w:t>候选登记表。</w:t>
      </w:r>
    </w:p>
    <w:p w14:paraId="2FAD6229" w14:textId="77777777" w:rsidR="00EE56A9" w:rsidRDefault="00721CC4">
      <w:pPr>
        <w:pStyle w:val="21"/>
      </w:pPr>
      <w:r>
        <w:rPr>
          <w:rFonts w:ascii="Times New Roman" w:eastAsia="宋体" w:hAnsi="Times New Roman"/>
          <w:sz w:val="22"/>
        </w:rPr>
        <w:t xml:space="preserve">2.13 </w:t>
      </w:r>
      <w:r>
        <w:rPr>
          <w:rFonts w:ascii="Times New Roman" w:eastAsia="宋体" w:hAnsi="Times New Roman"/>
          <w:sz w:val="22"/>
        </w:rPr>
        <w:t>切分机制迁移审计</w:t>
      </w:r>
    </w:p>
    <w:p w14:paraId="299B9224" w14:textId="77777777" w:rsidR="00EE56A9" w:rsidRDefault="00721CC4">
      <w:r>
        <w:rPr>
          <w:sz w:val="22"/>
        </w:rPr>
        <w:t>选择</w:t>
      </w:r>
      <w:r>
        <w:rPr>
          <w:sz w:val="22"/>
        </w:rPr>
        <w:t>ClinTox</w:t>
      </w:r>
      <w:r>
        <w:rPr>
          <w:sz w:val="22"/>
        </w:rPr>
        <w:t>、</w:t>
      </w:r>
      <w:r>
        <w:rPr>
          <w:sz w:val="22"/>
        </w:rPr>
        <w:t>BACE</w:t>
      </w:r>
      <w:r>
        <w:rPr>
          <w:sz w:val="22"/>
        </w:rPr>
        <w:t>和</w:t>
      </w:r>
      <w:r>
        <w:rPr>
          <w:sz w:val="22"/>
        </w:rPr>
        <w:t>ESOL</w:t>
      </w:r>
      <w:r>
        <w:rPr>
          <w:sz w:val="22"/>
        </w:rPr>
        <w:t>分别代表罕见类别分类、常规分类和回归。保持锁定的</w:t>
      </w:r>
      <w:r>
        <w:rPr>
          <w:sz w:val="22"/>
        </w:rPr>
        <w:t>32</w:t>
      </w:r>
      <w:r>
        <w:rPr>
          <w:sz w:val="22"/>
        </w:rPr>
        <w:t>候选</w:t>
      </w:r>
      <w:r>
        <w:rPr>
          <w:sz w:val="22"/>
        </w:rPr>
        <w:t>Morgan-512</w:t>
      </w:r>
      <w:r>
        <w:rPr>
          <w:sz w:val="22"/>
        </w:rPr>
        <w:t>登记表、候选顺序、</w:t>
      </w:r>
      <w:r>
        <w:rPr>
          <w:sz w:val="22"/>
        </w:rPr>
        <w:t>K=4/8/16/32</w:t>
      </w:r>
      <w:r>
        <w:rPr>
          <w:sz w:val="22"/>
        </w:rPr>
        <w:t>前缀、种子</w:t>
      </w:r>
      <w:r>
        <w:rPr>
          <w:sz w:val="22"/>
        </w:rPr>
        <w:t>11/23/37/53/71</w:t>
      </w:r>
      <w:r>
        <w:rPr>
          <w:sz w:val="22"/>
        </w:rPr>
        <w:t>以及</w:t>
      </w:r>
      <w:r>
        <w:rPr>
          <w:sz w:val="22"/>
        </w:rPr>
        <w:t>3</w:t>
      </w:r>
      <w:r>
        <w:rPr>
          <w:sz w:val="22"/>
        </w:rPr>
        <w:t>外层</w:t>
      </w:r>
      <w:r>
        <w:rPr>
          <w:sz w:val="22"/>
        </w:rPr>
        <w:t>×3</w:t>
      </w:r>
      <w:r>
        <w:rPr>
          <w:sz w:val="22"/>
        </w:rPr>
        <w:t>内层设计不变。结构分离重跑将</w:t>
      </w:r>
      <w:r>
        <w:rPr>
          <w:sz w:val="22"/>
        </w:rPr>
        <w:t>Tanimoto≥0.70</w:t>
      </w:r>
      <w:r>
        <w:rPr>
          <w:sz w:val="22"/>
        </w:rPr>
        <w:t>的分子对连边，并将每个连通分量作为内外层均不可拆分的组。阈值与分配规则在正式模型拟合前经切分可行性检查后固定，模型性能不参与分组。</w:t>
      </w:r>
    </w:p>
    <w:p w14:paraId="50424159" w14:textId="77777777" w:rsidR="00EE56A9" w:rsidRDefault="00721CC4">
      <w:r>
        <w:rPr>
          <w:sz w:val="22"/>
        </w:rPr>
        <w:t>种子化贪心分配同时平衡样本量以及分类任务的两类样本量。所有正式切分均要求组间无重叠、跨折最大</w:t>
      </w:r>
      <w:r>
        <w:rPr>
          <w:sz w:val="22"/>
        </w:rPr>
        <w:t>Tanimoto</w:t>
      </w:r>
      <w:r>
        <w:rPr>
          <w:sz w:val="22"/>
        </w:rPr>
        <w:t>低于</w:t>
      </w:r>
      <w:r>
        <w:rPr>
          <w:sz w:val="22"/>
        </w:rPr>
        <w:t>0.70</w:t>
      </w:r>
      <w:r>
        <w:rPr>
          <w:sz w:val="22"/>
        </w:rPr>
        <w:t>且分类折保留两类，禁止随机回退。迁移审计新增</w:t>
      </w:r>
      <w:r>
        <w:rPr>
          <w:sz w:val="22"/>
        </w:rPr>
        <w:t>5,760</w:t>
      </w:r>
      <w:r>
        <w:rPr>
          <w:sz w:val="22"/>
        </w:rPr>
        <w:t>次候选拟合，并比较</w:t>
      </w:r>
      <w:r>
        <w:rPr>
          <w:sz w:val="22"/>
        </w:rPr>
        <w:t>CAHit@3</w:t>
      </w:r>
      <w:r>
        <w:rPr>
          <w:sz w:val="22"/>
        </w:rPr>
        <w:t>的</w:t>
      </w:r>
      <w:r>
        <w:rPr>
          <w:sz w:val="22"/>
        </w:rPr>
        <w:t>K=32</w:t>
      </w:r>
      <w:r>
        <w:rPr>
          <w:sz w:val="22"/>
        </w:rPr>
        <w:t>减</w:t>
      </w:r>
      <w:r>
        <w:rPr>
          <w:sz w:val="22"/>
        </w:rPr>
        <w:t>K=4</w:t>
      </w:r>
      <w:r>
        <w:rPr>
          <w:sz w:val="22"/>
        </w:rPr>
        <w:t>变化、留一种子交叉拟合差距和四种矩阵变换下的</w:t>
      </w:r>
      <w:r>
        <w:rPr>
          <w:sz w:val="22"/>
        </w:rPr>
        <w:t>Ledoit–Wolf</w:t>
      </w:r>
      <w:r>
        <w:rPr>
          <w:sz w:val="22"/>
        </w:rPr>
        <w:t>有效秩。</w:t>
      </w:r>
    </w:p>
    <w:p w14:paraId="18D1DE1C" w14:textId="77777777" w:rsidR="00EE56A9" w:rsidRDefault="00721CC4">
      <w:pPr>
        <w:pStyle w:val="21"/>
      </w:pPr>
      <w:r>
        <w:lastRenderedPageBreak/>
        <w:t xml:space="preserve">2.14 </w:t>
      </w:r>
      <w:r>
        <w:t>扩展的等规模候选池组成干预</w:t>
      </w:r>
    </w:p>
    <w:p w14:paraId="4642856E" w14:textId="77777777" w:rsidR="00EE56A9" w:rsidRDefault="00721CC4">
      <w:r>
        <w:t>在读取扩展结果前，依据任务覆盖预先固定</w:t>
      </w:r>
      <w:r>
        <w:t xml:space="preserve"> 6 </w:t>
      </w:r>
      <w:r>
        <w:t>个端点：分类任务为</w:t>
      </w:r>
      <w:r>
        <w:t xml:space="preserve"> ClinTox</w:t>
      </w:r>
      <w:r>
        <w:t>、</w:t>
      </w:r>
      <w:r>
        <w:t xml:space="preserve">BACE </w:t>
      </w:r>
      <w:r>
        <w:t>和</w:t>
      </w:r>
      <w:r>
        <w:t xml:space="preserve"> BBBP</w:t>
      </w:r>
      <w:r>
        <w:t>，回归任务为</w:t>
      </w:r>
      <w:r>
        <w:t xml:space="preserve"> ESOL</w:t>
      </w:r>
      <w:r>
        <w:t>、</w:t>
      </w:r>
      <w:r>
        <w:t xml:space="preserve">Lipophilicity </w:t>
      </w:r>
      <w:r>
        <w:t>与</w:t>
      </w:r>
      <w:r>
        <w:t xml:space="preserve"> Caco2_Wang</w:t>
      </w:r>
      <w:r>
        <w:t>。三类精确前缀候选池</w:t>
      </w:r>
      <w:r>
        <w:t>——</w:t>
      </w:r>
      <w:r>
        <w:t>同质</w:t>
      </w:r>
      <w:r>
        <w:t xml:space="preserve"> Morgan</w:t>
      </w:r>
      <w:r>
        <w:t>、多表征经典与现代增强</w:t>
      </w:r>
      <w:r>
        <w:t>——</w:t>
      </w:r>
      <w:r>
        <w:t>均在</w:t>
      </w:r>
      <w:r>
        <w:t xml:space="preserve"> K = 4</w:t>
      </w:r>
      <w:r>
        <w:t>、</w:t>
      </w:r>
      <w:r>
        <w:t>8</w:t>
      </w:r>
      <w:r>
        <w:t>、</w:t>
      </w:r>
      <w:r>
        <w:t>16</w:t>
      </w:r>
      <w:r>
        <w:t>、</w:t>
      </w:r>
      <w:r>
        <w:t xml:space="preserve">32 </w:t>
      </w:r>
      <w:r>
        <w:t>下，使用种子</w:t>
      </w:r>
      <w:r>
        <w:t xml:space="preserve"> 11</w:t>
      </w:r>
      <w:r>
        <w:t>、</w:t>
      </w:r>
      <w:r>
        <w:t>23</w:t>
      </w:r>
      <w:r>
        <w:t>、</w:t>
      </w:r>
      <w:r>
        <w:t>37</w:t>
      </w:r>
      <w:r>
        <w:t>、</w:t>
      </w:r>
      <w:r>
        <w:t>53</w:t>
      </w:r>
      <w:r>
        <w:t>、</w:t>
      </w:r>
      <w:r>
        <w:t xml:space="preserve">71 </w:t>
      </w:r>
      <w:r>
        <w:t>及完全一致的</w:t>
      </w:r>
      <w:r>
        <w:t xml:space="preserve"> 3 </w:t>
      </w:r>
      <w:r>
        <w:t>外层</w:t>
      </w:r>
      <w:r>
        <w:t xml:space="preserve">×3 </w:t>
      </w:r>
      <w:r>
        <w:t>内层折进行评估。共享</w:t>
      </w:r>
      <w:r>
        <w:t xml:space="preserve"> Morgan </w:t>
      </w:r>
      <w:r>
        <w:t>线性模型固定在首位；候选配置及顺序不随</w:t>
      </w:r>
      <w:r>
        <w:t xml:space="preserve"> K </w:t>
      </w:r>
      <w:r>
        <w:t>改变。</w:t>
      </w:r>
    </w:p>
    <w:p w14:paraId="01059BB7" w14:textId="77777777" w:rsidR="00EE56A9" w:rsidRDefault="00721CC4">
      <w:r>
        <w:t>固定</w:t>
      </w:r>
      <w:r>
        <w:t xml:space="preserve"> K </w:t>
      </w:r>
      <w:r>
        <w:t>的组件消融在</w:t>
      </w:r>
      <w:r>
        <w:t xml:space="preserve"> K = 16 </w:t>
      </w:r>
      <w:r>
        <w:t>和</w:t>
      </w:r>
      <w:r>
        <w:t xml:space="preserve"> 32 </w:t>
      </w:r>
      <w:r>
        <w:t>下比较多表征经典、经典</w:t>
      </w:r>
      <w:r>
        <w:t>+ChemBERTa</w:t>
      </w:r>
      <w:r>
        <w:t>、经典</w:t>
      </w:r>
      <w:r>
        <w:t>+MoLFormer</w:t>
      </w:r>
      <w:r>
        <w:t>、经典</w:t>
      </w:r>
      <w:r>
        <w:t xml:space="preserve">+D-MPNN </w:t>
      </w:r>
      <w:r>
        <w:t>与完整现代增强候选池。每次加入现代组件时均用预先规定的经典候选进行替换，保持</w:t>
      </w:r>
      <w:r>
        <w:t xml:space="preserve"> K </w:t>
      </w:r>
      <w:r>
        <w:t>严格相同。等下游预算分析按端点与</w:t>
      </w:r>
      <w:r>
        <w:t xml:space="preserve"> K </w:t>
      </w:r>
      <w:r>
        <w:t>使用多表征经典候选池的中位下游时间阈值，并依锁定顺序截断；外层表现从不参与保留决策。下游时间仅包含内外层拟合与预测，不包含编码器预训练、模型获取及缓存嵌入提取。</w:t>
      </w:r>
    </w:p>
    <w:p w14:paraId="4F336B49" w14:textId="77777777" w:rsidR="00EE56A9" w:rsidRDefault="00721CC4">
      <w:r>
        <w:t>锚点敏感性预先设定共享</w:t>
      </w:r>
      <w:r>
        <w:t xml:space="preserve"> Morgan </w:t>
      </w:r>
      <w:r>
        <w:t>线性模型、固定</w:t>
      </w:r>
      <w:r>
        <w:t xml:space="preserve"> Morgan </w:t>
      </w:r>
      <w:r>
        <w:t>随机森林及候选表中位位置模型，并分别报告原始增益、端点</w:t>
      </w:r>
      <w:r>
        <w:t xml:space="preserve"> MAD </w:t>
      </w:r>
      <w:r>
        <w:t>归一化及配对同质审计最优归一化。选择稳定性包括候选、表征与学习器家族频率、选择熵、众数比例、留一种子一致性和相邻外层折切换次数。</w:t>
      </w:r>
      <w:r>
        <w:t>ClinTox</w:t>
      </w:r>
      <w:r>
        <w:t>、</w:t>
      </w:r>
      <w:r>
        <w:t xml:space="preserve">BACE </w:t>
      </w:r>
      <w:r>
        <w:t>与</w:t>
      </w:r>
      <w:r>
        <w:t xml:space="preserve"> ESOL </w:t>
      </w:r>
      <w:r>
        <w:t>进一步在</w:t>
      </w:r>
      <w:r>
        <w:t xml:space="preserve"> scaffold split </w:t>
      </w:r>
      <w:r>
        <w:t>与</w:t>
      </w:r>
      <w:r>
        <w:t xml:space="preserve"> Tanimoto </w:t>
      </w:r>
      <w:r>
        <w:t>连通分量</w:t>
      </w:r>
      <w:r>
        <w:t xml:space="preserve"> split </w:t>
      </w:r>
      <w:r>
        <w:t>下完成三类候选池闭环，候选表、种子、折、选择规则和指标均保持不变。</w:t>
      </w:r>
    </w:p>
    <w:p w14:paraId="02A7A505" w14:textId="77777777" w:rsidR="00EE56A9" w:rsidRDefault="00721CC4">
      <w:pPr>
        <w:pStyle w:val="21"/>
      </w:pPr>
      <w:r>
        <w:t xml:space="preserve">2.15 </w:t>
      </w:r>
      <w:r>
        <w:t>数学估计量与矩阵相对多样性</w:t>
      </w:r>
    </w:p>
    <w:p w14:paraId="7472530E" w14:textId="77777777" w:rsidR="00EE56A9" w:rsidRDefault="00721CC4">
      <w:r>
        <w:t>令</w:t>
      </w:r>
      <w:r>
        <w:t xml:space="preserve"> u = (s, f) </w:t>
      </w:r>
      <w:r>
        <w:t>表示由重复种子</w:t>
      </w:r>
      <w:r>
        <w:t xml:space="preserve"> s </w:t>
      </w:r>
      <w:r>
        <w:t>与外层折</w:t>
      </w:r>
      <w:r>
        <w:t xml:space="preserve"> f </w:t>
      </w:r>
      <w:r>
        <w:t>构成的外层审计单元；</w:t>
      </w:r>
      <w:r>
        <w:t xml:space="preserve">V(u,j) </w:t>
      </w:r>
      <w:r>
        <w:t>为候选</w:t>
      </w:r>
      <w:r>
        <w:t xml:space="preserve"> j </w:t>
      </w:r>
      <w:r>
        <w:t>的平均内层验证效用，</w:t>
      </w:r>
      <w:r>
        <w:t xml:space="preserve">A(u,j) </w:t>
      </w:r>
      <w:r>
        <w:t>为其外层审计效用。候选池前缀</w:t>
      </w:r>
      <w:r>
        <w:t xml:space="preserve"> C(p,K)</w:t>
      </w:r>
      <w:r>
        <w:t>、候选顺序、锚点</w:t>
      </w:r>
      <w:r>
        <w:t xml:space="preserve"> a </w:t>
      </w:r>
      <w:r>
        <w:t>与参照候选</w:t>
      </w:r>
      <w:r>
        <w:t xml:space="preserve"> j0 </w:t>
      </w:r>
      <w:r>
        <w:t>均在查看外层结果前固定。所有单元层统计量先在种子内对外层折求平均，再以</w:t>
      </w:r>
      <w:r>
        <w:t xml:space="preserve"> 5 </w:t>
      </w:r>
      <w:r>
        <w:t>个种子为区组汇总。</w:t>
      </w:r>
    </w:p>
    <w:p w14:paraId="60E940AA" w14:textId="77777777" w:rsidR="00EE56A9" w:rsidRDefault="00721CC4">
      <w:pPr>
        <w:pStyle w:val="31"/>
      </w:pPr>
      <w:r>
        <w:t>选择与排序估计量</w:t>
      </w:r>
    </w:p>
    <w:p w14:paraId="6F629EFC" w14:textId="77777777" w:rsidR="00EE56A9" w:rsidRDefault="00721CC4">
      <w:r>
        <w:t>其中，</w:t>
      </w:r>
      <w:r>
        <w:t xml:space="preserve">r_u </w:t>
      </w:r>
      <w:r>
        <w:t>为外层有限审计最佳候选在内层验证排序中的名次，</w:t>
      </w:r>
      <w:r>
        <w:t xml:space="preserve">q </w:t>
      </w:r>
      <w:r>
        <w:t>为排序截断值（</w:t>
      </w:r>
      <w:r>
        <w:t>q = 3</w:t>
      </w:r>
      <w:r>
        <w:t>），</w:t>
      </w:r>
      <w:r>
        <w:t xml:space="preserve">I </w:t>
      </w:r>
      <w:r>
        <w:t>为示性函数，</w:t>
      </w:r>
      <w:r>
        <w:t xml:space="preserve">H_K </w:t>
      </w:r>
      <w:r>
        <w:t>为第</w:t>
      </w:r>
      <w:r>
        <w:t xml:space="preserve"> K </w:t>
      </w:r>
      <w:r>
        <w:t>个调和数。</w:t>
      </w:r>
    </w:p>
    <w:p w14:paraId="357A1299" w14:textId="17925C57"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acc>
              <m:accPr>
                <m:ctrlPr>
                  <w:rPr>
                    <w:rFonts w:ascii="Cambria Math" w:hAnsi="Cambria Math"/>
                    <w:i/>
                    <w:sz w:val="21"/>
                  </w:rPr>
                </m:ctrlPr>
              </m:accPr>
              <m:e>
                <m:r>
                  <w:rPr>
                    <w:rFonts w:ascii="Cambria Math" w:hAnsi="Cambria Math"/>
                    <w:sz w:val="21"/>
                  </w:rPr>
                  <m:t>j</m:t>
                </m:r>
              </m:e>
            </m:acc>
          </m:e>
          <m:sub>
            <m:r>
              <w:rPr>
                <w:rFonts w:ascii="Cambria Math" w:hAnsi="Cambria Math"/>
                <w:sz w:val="21"/>
              </w:rPr>
              <m:t>u</m:t>
            </m:r>
            <m:d>
              <m:dPr>
                <m:ctrlPr>
                  <w:rPr>
                    <w:rFonts w:ascii="Cambria Math" w:hAnsi="Cambria Math"/>
                    <w:i/>
                    <w:sz w:val="21"/>
                  </w:rPr>
                </m:ctrlPr>
              </m:dPr>
              <m:e>
                <m:r>
                  <w:rPr>
                    <w:rFonts w:ascii="Cambria Math" w:hAnsi="Cambria Math"/>
                    <w:sz w:val="21"/>
                  </w:rPr>
                  <m:t>K</m:t>
                </m:r>
              </m:e>
            </m:d>
          </m:sub>
        </m:sSub>
        <m:r>
          <w:rPr>
            <w:rFonts w:ascii="Cambria Math" w:hAnsi="Cambria Math"/>
            <w:sz w:val="21"/>
          </w:rPr>
          <m:t>=</m:t>
        </m:r>
        <m:func>
          <m:funcPr>
            <m:ctrlPr>
              <w:rPr>
                <w:rFonts w:ascii="Cambria Math" w:hAnsi="Cambria Math"/>
                <w:sz w:val="21"/>
              </w:rPr>
            </m:ctrlPr>
          </m:funcPr>
          <m:fName>
            <m:r>
              <m:rPr>
                <m:sty m:val="p"/>
              </m:rPr>
              <w:rPr>
                <w:rFonts w:ascii="Cambria Math" w:hAnsi="Cambria Math"/>
                <w:sz w:val="21"/>
              </w:rPr>
              <m:t>arg</m:t>
            </m:r>
            <m:ctrlPr>
              <w:rPr>
                <w:rFonts w:ascii="Cambria Math" w:hAnsi="Cambria Math"/>
                <w:i/>
                <w:sz w:val="21"/>
              </w:rPr>
            </m:ctrlPr>
          </m:fName>
          <m:e>
            <m:func>
              <m:funcPr>
                <m:ctrlPr>
                  <w:rPr>
                    <w:rFonts w:ascii="Cambria Math" w:hAnsi="Cambria Math"/>
                    <w:sz w:val="21"/>
                  </w:rPr>
                </m:ctrlPr>
              </m:funcPr>
              <m:fName>
                <m:limLow>
                  <m:limLowPr>
                    <m:ctrlPr>
                      <w:rPr>
                        <w:rFonts w:ascii="Cambria Math" w:hAnsi="Cambria Math"/>
                        <w:i/>
                        <w:sz w:val="21"/>
                      </w:rPr>
                    </m:ctrlPr>
                  </m:limLowPr>
                  <m:e>
                    <m:r>
                      <m:rPr>
                        <m:sty m:val="p"/>
                      </m:rPr>
                      <w:rPr>
                        <w:rFonts w:ascii="Cambria Math" w:hAnsi="Cambria Math"/>
                        <w:sz w:val="21"/>
                      </w:rPr>
                      <m:t>max</m:t>
                    </m:r>
                    <m:ctrlPr>
                      <w:rPr>
                        <w:rFonts w:ascii="Cambria Math" w:hAnsi="Cambria Math"/>
                        <w:sz w:val="21"/>
                      </w:rPr>
                    </m:ctrlPr>
                  </m:e>
                  <m:lim>
                    <m:r>
                      <w:rPr>
                        <w:rFonts w:ascii="Cambria Math" w:hAnsi="Cambria Math"/>
                        <w:sz w:val="21"/>
                      </w:rPr>
                      <m:t>j</m:t>
                    </m:r>
                    <m:r>
                      <w:rPr>
                        <w:rFonts w:ascii="Cambria Math" w:hAnsi="Cambria Math" w:hint="eastAsia"/>
                        <w:sz w:val="21"/>
                      </w:rPr>
                      <m:t>∈</m:t>
                    </m:r>
                    <m:sSub>
                      <m:sSubPr>
                        <m:ctrlPr>
                          <w:rPr>
                            <w:rFonts w:ascii="Cambria Math" w:hAnsi="Cambria Math"/>
                            <w:i/>
                            <w:sz w:val="21"/>
                          </w:rPr>
                        </m:ctrlPr>
                      </m:sSubPr>
                      <m:e>
                        <m:r>
                          <w:rPr>
                            <w:rFonts w:ascii="Cambria Math" w:hAnsi="Cambria Math"/>
                            <w:sz w:val="21"/>
                          </w:rPr>
                          <m:t>C</m:t>
                        </m:r>
                      </m:e>
                      <m:sub>
                        <m:r>
                          <w:rPr>
                            <w:rFonts w:ascii="Cambria Math" w:hAnsi="Cambria Math"/>
                            <w:sz w:val="21"/>
                          </w:rPr>
                          <m:t>K</m:t>
                        </m:r>
                      </m:sub>
                    </m:sSub>
                    <m:ctrlPr>
                      <w:rPr>
                        <w:rFonts w:ascii="Cambria Math" w:hAnsi="Cambria Math"/>
                        <w:sz w:val="21"/>
                      </w:rPr>
                    </m:ctrlPr>
                  </m:lim>
                </m:limLow>
              </m:fName>
              <m:e>
                <m:sSub>
                  <m:sSubPr>
                    <m:ctrlPr>
                      <w:rPr>
                        <w:rFonts w:ascii="Cambria Math" w:hAnsi="Cambria Math"/>
                        <w:i/>
                        <w:sz w:val="21"/>
                      </w:rPr>
                    </m:ctrlPr>
                  </m:sSubPr>
                  <m:e>
                    <m:r>
                      <w:rPr>
                        <w:rFonts w:ascii="Cambria Math" w:hAnsi="Cambria Math"/>
                        <w:sz w:val="21"/>
                      </w:rPr>
                      <m:t>V</m:t>
                    </m:r>
                  </m:e>
                  <m:sub>
                    <m:r>
                      <w:rPr>
                        <w:rFonts w:ascii="Cambria Math" w:hAnsi="Cambria Math"/>
                        <w:sz w:val="21"/>
                      </w:rPr>
                      <m:t>u,j</m:t>
                    </m:r>
                  </m:sub>
                </m:sSub>
                <m:ctrlPr>
                  <w:rPr>
                    <w:rFonts w:ascii="Cambria Math" w:hAnsi="Cambria Math"/>
                    <w:i/>
                    <w:sz w:val="21"/>
                  </w:rPr>
                </m:ctrlPr>
              </m:e>
            </m:func>
          </m:e>
        </m:func>
      </m:oMath>
      <w:r w:rsidRPr="00CC0F03">
        <w:rPr>
          <w:rFonts w:ascii="Cambria Math" w:hAnsi="Cambria Math"/>
          <w:sz w:val="21"/>
        </w:rPr>
        <w:t>,</w:t>
      </w:r>
      <w:r w:rsidRPr="00CC0F03">
        <w:rPr>
          <w:rFonts w:ascii="Cambria Math" w:hAnsi="Cambria Math"/>
          <w:sz w:val="21"/>
        </w:rPr>
        <w:tab/>
        <w:t>(1)</w:t>
      </w:r>
    </w:p>
    <w:p w14:paraId="27284489" w14:textId="6D08418F"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hint="eastAsia"/>
          <w:sz w:val="21"/>
        </w:rPr>
        <w:tab/>
      </w:r>
      <m:oMath>
        <m:sSub>
          <m:sSubPr>
            <m:ctrlPr>
              <w:rPr>
                <w:rFonts w:ascii="Cambria Math" w:hAnsi="Cambria Math"/>
                <w:i/>
                <w:sz w:val="21"/>
              </w:rPr>
            </m:ctrlPr>
          </m:sSubPr>
          <m:e>
            <m:r>
              <w:rPr>
                <w:rFonts w:ascii="Cambria Math" w:hAnsi="Cambria Math" w:hint="eastAsia"/>
                <w:sz w:val="21"/>
              </w:rPr>
              <m:t>j</m:t>
            </m:r>
            <m:ctrlPr>
              <w:rPr>
                <w:rFonts w:ascii="Cambria Math" w:hAnsi="Cambria Math" w:hint="eastAsia"/>
                <w:i/>
                <w:sz w:val="21"/>
              </w:rPr>
            </m:ctrlPr>
          </m:e>
          <m:sub>
            <m:r>
              <w:rPr>
                <w:rFonts w:ascii="Cambria Math" w:hAnsi="Cambria Math" w:hint="eastAsia"/>
                <w:sz w:val="21"/>
              </w:rPr>
              <m:t>bes</m:t>
            </m:r>
            <m:sSub>
              <m:sSubPr>
                <m:ctrlPr>
                  <w:rPr>
                    <w:rFonts w:ascii="Cambria Math" w:hAnsi="Cambria Math"/>
                    <w:i/>
                    <w:sz w:val="21"/>
                  </w:rPr>
                </m:ctrlPr>
              </m:sSubPr>
              <m:e>
                <m:r>
                  <w:rPr>
                    <w:rFonts w:ascii="Cambria Math" w:hAnsi="Cambria Math" w:hint="eastAsia"/>
                    <w:sz w:val="21"/>
                  </w:rPr>
                  <m:t>t</m:t>
                </m:r>
                <m:ctrlPr>
                  <w:rPr>
                    <w:rFonts w:ascii="Cambria Math" w:hAnsi="Cambria Math" w:hint="eastAsia"/>
                    <w:i/>
                    <w:sz w:val="21"/>
                  </w:rPr>
                </m:ctrlPr>
              </m:e>
              <m:sub>
                <m:r>
                  <w:rPr>
                    <w:rFonts w:ascii="Cambria Math" w:hAnsi="Cambria Math" w:hint="eastAsia"/>
                    <w:sz w:val="21"/>
                  </w:rPr>
                  <m:t>u</m:t>
                </m:r>
                <m:d>
                  <m:dPr>
                    <m:ctrlPr>
                      <w:rPr>
                        <w:rFonts w:ascii="Cambria Math" w:hAnsi="Cambria Math"/>
                        <w:i/>
                        <w:sz w:val="21"/>
                      </w:rPr>
                    </m:ctrlPr>
                  </m:dPr>
                  <m:e>
                    <m:r>
                      <w:rPr>
                        <w:rFonts w:ascii="Cambria Math" w:hAnsi="Cambria Math" w:hint="eastAsia"/>
                        <w:sz w:val="21"/>
                      </w:rPr>
                      <m:t>K</m:t>
                    </m:r>
                  </m:e>
                </m:d>
              </m:sub>
            </m:sSub>
          </m:sub>
        </m:sSub>
        <m:r>
          <w:rPr>
            <w:rFonts w:ascii="Cambria Math" w:hAnsi="Cambria Math" w:hint="eastAsia"/>
            <w:sz w:val="21"/>
          </w:rPr>
          <m:t>=</m:t>
        </m:r>
        <m:func>
          <m:funcPr>
            <m:ctrlPr>
              <w:rPr>
                <w:rFonts w:ascii="Cambria Math" w:hAnsi="Cambria Math"/>
                <w:sz w:val="21"/>
              </w:rPr>
            </m:ctrlPr>
          </m:funcPr>
          <m:fName>
            <m:r>
              <m:rPr>
                <m:sty m:val="p"/>
              </m:rPr>
              <w:rPr>
                <w:rFonts w:ascii="Cambria Math" w:hAnsi="Cambria Math"/>
                <w:sz w:val="21"/>
              </w:rPr>
              <m:t>arg</m:t>
            </m:r>
            <m:ctrlPr>
              <w:rPr>
                <w:rFonts w:ascii="Cambria Math" w:hAnsi="Cambria Math"/>
                <w:i/>
                <w:sz w:val="21"/>
              </w:rPr>
            </m:ctrlPr>
          </m:fName>
          <m:e>
            <m:func>
              <m:funcPr>
                <m:ctrlPr>
                  <w:rPr>
                    <w:rFonts w:ascii="Cambria Math" w:hAnsi="Cambria Math"/>
                    <w:sz w:val="21"/>
                  </w:rPr>
                </m:ctrlPr>
              </m:funcPr>
              <m:fName>
                <m:limLow>
                  <m:limLowPr>
                    <m:ctrlPr>
                      <w:rPr>
                        <w:rFonts w:ascii="Cambria Math" w:hAnsi="Cambria Math"/>
                        <w:i/>
                        <w:sz w:val="21"/>
                      </w:rPr>
                    </m:ctrlPr>
                  </m:limLowPr>
                  <m:e>
                    <m:r>
                      <m:rPr>
                        <m:sty m:val="p"/>
                      </m:rPr>
                      <w:rPr>
                        <w:rFonts w:ascii="Cambria Math" w:hAnsi="Cambria Math"/>
                        <w:sz w:val="21"/>
                      </w:rPr>
                      <m:t>max</m:t>
                    </m:r>
                    <m:ctrlPr>
                      <w:rPr>
                        <w:rFonts w:ascii="Cambria Math" w:hAnsi="Cambria Math"/>
                        <w:sz w:val="21"/>
                      </w:rPr>
                    </m:ctrlPr>
                  </m:e>
                  <m:lim>
                    <m:r>
                      <w:rPr>
                        <w:rFonts w:ascii="Cambria Math" w:hAnsi="Cambria Math" w:hint="eastAsia"/>
                        <w:sz w:val="21"/>
                      </w:rPr>
                      <m:t>j</m:t>
                    </m:r>
                    <m:r>
                      <w:rPr>
                        <w:rFonts w:ascii="Cambria Math" w:hAnsi="Cambria Math" w:hint="eastAsia"/>
                        <w:sz w:val="21"/>
                      </w:rPr>
                      <m:t>∈</m:t>
                    </m:r>
                    <m:sSub>
                      <m:sSubPr>
                        <m:ctrlPr>
                          <w:rPr>
                            <w:rFonts w:ascii="Cambria Math" w:hAnsi="Cambria Math"/>
                            <w:i/>
                            <w:sz w:val="21"/>
                          </w:rPr>
                        </m:ctrlPr>
                      </m:sSubPr>
                      <m:e>
                        <m:r>
                          <w:rPr>
                            <w:rFonts w:ascii="Cambria Math" w:hAnsi="Cambria Math" w:hint="eastAsia"/>
                            <w:sz w:val="21"/>
                          </w:rPr>
                          <m:t>C</m:t>
                        </m:r>
                      </m:e>
                      <m:sub>
                        <m:r>
                          <w:rPr>
                            <w:rFonts w:ascii="Cambria Math" w:hAnsi="Cambria Math" w:hint="eastAsia"/>
                            <w:sz w:val="21"/>
                          </w:rPr>
                          <m:t>K</m:t>
                        </m:r>
                      </m:sub>
                    </m:sSub>
                    <m:ctrlPr>
                      <w:rPr>
                        <w:rFonts w:ascii="Cambria Math" w:hAnsi="Cambria Math"/>
                        <w:sz w:val="21"/>
                      </w:rPr>
                    </m:ctrlPr>
                  </m:lim>
                </m:limLow>
              </m:fName>
              <m:e>
                <m:sSub>
                  <m:sSubPr>
                    <m:ctrlPr>
                      <w:rPr>
                        <w:rFonts w:ascii="Cambria Math" w:hAnsi="Cambria Math"/>
                        <w:i/>
                        <w:sz w:val="21"/>
                      </w:rPr>
                    </m:ctrlPr>
                  </m:sSubPr>
                  <m:e>
                    <m:r>
                      <w:rPr>
                        <w:rFonts w:ascii="Cambria Math" w:hAnsi="Cambria Math" w:hint="eastAsia"/>
                        <w:sz w:val="21"/>
                      </w:rPr>
                      <m:t>A</m:t>
                    </m:r>
                    <m:ctrlPr>
                      <w:rPr>
                        <w:rFonts w:ascii="Cambria Math" w:hAnsi="Cambria Math" w:hint="eastAsia"/>
                        <w:i/>
                        <w:sz w:val="21"/>
                      </w:rPr>
                    </m:ctrlPr>
                  </m:e>
                  <m:sub>
                    <m:r>
                      <w:rPr>
                        <w:rFonts w:ascii="Cambria Math" w:hAnsi="Cambria Math" w:hint="eastAsia"/>
                        <w:sz w:val="21"/>
                      </w:rPr>
                      <m:t>u,j</m:t>
                    </m:r>
                  </m:sub>
                </m:sSub>
                <m:ctrlPr>
                  <w:rPr>
                    <w:rFonts w:ascii="Cambria Math" w:hAnsi="Cambria Math"/>
                    <w:i/>
                    <w:sz w:val="21"/>
                  </w:rPr>
                </m:ctrlPr>
              </m:e>
            </m:func>
          </m:e>
        </m:func>
      </m:oMath>
      <w:r w:rsidRPr="00CC0F03">
        <w:rPr>
          <w:rFonts w:ascii="Cambria Math" w:hAnsi="Cambria Math" w:hint="eastAsia"/>
          <w:sz w:val="21"/>
        </w:rPr>
        <w:t>,</w:t>
      </w:r>
      <w:r w:rsidRPr="00CC0F03">
        <w:rPr>
          <w:rFonts w:ascii="Cambria Math" w:hAnsi="Cambria Math" w:hint="eastAsia"/>
          <w:sz w:val="21"/>
        </w:rPr>
        <w:tab/>
        <w:t>(2)</w:t>
      </w:r>
    </w:p>
    <w:p w14:paraId="4EDA0426" w14:textId="7E82CA4E"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r>
              <w:rPr>
                <w:rFonts w:ascii="Cambria Math" w:hAnsi="Cambria Math"/>
                <w:sz w:val="21"/>
              </w:rPr>
              <m:t>L</m:t>
            </m:r>
          </m:e>
          <m:sub>
            <m:r>
              <w:rPr>
                <w:rFonts w:ascii="Cambria Math" w:hAnsi="Cambria Math"/>
                <w:sz w:val="21"/>
              </w:rPr>
              <m:t>u</m:t>
            </m:r>
            <m:d>
              <m:dPr>
                <m:ctrlPr>
                  <w:rPr>
                    <w:rFonts w:ascii="Cambria Math" w:hAnsi="Cambria Math"/>
                    <w:i/>
                    <w:sz w:val="21"/>
                  </w:rPr>
                </m:ctrlPr>
              </m:dPr>
              <m:e>
                <m:r>
                  <w:rPr>
                    <w:rFonts w:ascii="Cambria Math" w:hAnsi="Cambria Math"/>
                    <w:sz w:val="21"/>
                  </w:rPr>
                  <m:t>K</m:t>
                </m:r>
              </m:e>
            </m:d>
          </m:sub>
        </m:sSub>
        <m:r>
          <w:rPr>
            <w:rFonts w:ascii="Cambria Math" w:hAnsi="Cambria Math"/>
            <w:sz w:val="21"/>
          </w:rPr>
          <m:t>=</m:t>
        </m:r>
        <m:sSub>
          <m:sSubPr>
            <m:ctrlPr>
              <w:rPr>
                <w:rFonts w:ascii="Cambria Math" w:hAnsi="Cambria Math"/>
                <w:i/>
                <w:sz w:val="21"/>
              </w:rPr>
            </m:ctrlPr>
          </m:sSubPr>
          <m:e>
            <m:r>
              <w:rPr>
                <w:rFonts w:ascii="Cambria Math" w:hAnsi="Cambria Math"/>
                <w:sz w:val="21"/>
              </w:rPr>
              <m:t>A</m:t>
            </m:r>
          </m:e>
          <m:sub>
            <m:r>
              <w:rPr>
                <w:rFonts w:ascii="Cambria Math" w:hAnsi="Cambria Math"/>
                <w:sz w:val="21"/>
              </w:rPr>
              <m:t>u,</m:t>
            </m:r>
            <m:sSub>
              <m:sSubPr>
                <m:ctrlPr>
                  <w:rPr>
                    <w:rFonts w:ascii="Cambria Math" w:hAnsi="Cambria Math"/>
                    <w:i/>
                    <w:sz w:val="21"/>
                  </w:rPr>
                </m:ctrlPr>
              </m:sSubPr>
              <m:e>
                <m:r>
                  <w:rPr>
                    <w:rFonts w:ascii="Cambria Math" w:hAnsi="Cambria Math"/>
                    <w:sz w:val="21"/>
                  </w:rPr>
                  <m:t>j</m:t>
                </m:r>
              </m:e>
              <m:sub>
                <m:r>
                  <w:rPr>
                    <w:rFonts w:ascii="Cambria Math" w:hAnsi="Cambria Math"/>
                    <w:sz w:val="21"/>
                  </w:rPr>
                  <m:t>bes</m:t>
                </m:r>
                <m:sSub>
                  <m:sSubPr>
                    <m:ctrlPr>
                      <w:rPr>
                        <w:rFonts w:ascii="Cambria Math" w:hAnsi="Cambria Math"/>
                        <w:i/>
                        <w:sz w:val="21"/>
                      </w:rPr>
                    </m:ctrlPr>
                  </m:sSubPr>
                  <m:e>
                    <m:r>
                      <w:rPr>
                        <w:rFonts w:ascii="Cambria Math" w:hAnsi="Cambria Math"/>
                        <w:sz w:val="21"/>
                      </w:rPr>
                      <m:t>t</m:t>
                    </m:r>
                  </m:e>
                  <m:sub>
                    <m:r>
                      <w:rPr>
                        <w:rFonts w:ascii="Cambria Math" w:hAnsi="Cambria Math"/>
                        <w:sz w:val="21"/>
                      </w:rPr>
                      <m:t>u</m:t>
                    </m:r>
                    <m:d>
                      <m:dPr>
                        <m:ctrlPr>
                          <w:rPr>
                            <w:rFonts w:ascii="Cambria Math" w:hAnsi="Cambria Math"/>
                            <w:i/>
                            <w:sz w:val="21"/>
                          </w:rPr>
                        </m:ctrlPr>
                      </m:dPr>
                      <m:e>
                        <m:r>
                          <w:rPr>
                            <w:rFonts w:ascii="Cambria Math" w:hAnsi="Cambria Math"/>
                            <w:sz w:val="21"/>
                          </w:rPr>
                          <m:t>K</m:t>
                        </m:r>
                      </m:e>
                    </m:d>
                  </m:sub>
                </m:sSub>
              </m:sub>
            </m:sSub>
          </m:sub>
        </m:sSub>
        <m:r>
          <w:rPr>
            <w:rFonts w:ascii="Cambria Math" w:hAnsi="Cambria Math"/>
            <w:sz w:val="21"/>
          </w:rPr>
          <m:t>-</m:t>
        </m:r>
        <m:sSub>
          <m:sSubPr>
            <m:ctrlPr>
              <w:rPr>
                <w:rFonts w:ascii="Cambria Math" w:hAnsi="Cambria Math"/>
                <w:i/>
                <w:sz w:val="21"/>
              </w:rPr>
            </m:ctrlPr>
          </m:sSubPr>
          <m:e>
            <m:r>
              <w:rPr>
                <w:rFonts w:ascii="Cambria Math" w:hAnsi="Cambria Math"/>
                <w:sz w:val="21"/>
              </w:rPr>
              <m:t>A</m:t>
            </m:r>
          </m:e>
          <m:sub>
            <m:r>
              <w:rPr>
                <w:rFonts w:ascii="Cambria Math" w:hAnsi="Cambria Math"/>
                <w:sz w:val="21"/>
              </w:rPr>
              <m:t>u,</m:t>
            </m:r>
            <m:sSub>
              <m:sSubPr>
                <m:ctrlPr>
                  <w:rPr>
                    <w:rFonts w:ascii="Cambria Math" w:hAnsi="Cambria Math"/>
                    <w:i/>
                    <w:sz w:val="21"/>
                  </w:rPr>
                </m:ctrlPr>
              </m:sSubPr>
              <m:e>
                <m:acc>
                  <m:accPr>
                    <m:ctrlPr>
                      <w:rPr>
                        <w:rFonts w:ascii="Cambria Math" w:hAnsi="Cambria Math"/>
                        <w:i/>
                        <w:sz w:val="21"/>
                      </w:rPr>
                    </m:ctrlPr>
                  </m:accPr>
                  <m:e>
                    <m:r>
                      <w:rPr>
                        <w:rFonts w:ascii="Cambria Math" w:hAnsi="Cambria Math"/>
                        <w:sz w:val="21"/>
                      </w:rPr>
                      <m:t>j</m:t>
                    </m:r>
                  </m:e>
                </m:acc>
              </m:e>
              <m:sub>
                <m:r>
                  <w:rPr>
                    <w:rFonts w:ascii="Cambria Math" w:hAnsi="Cambria Math"/>
                    <w:sz w:val="21"/>
                  </w:rPr>
                  <m:t>u</m:t>
                </m:r>
                <m:d>
                  <m:dPr>
                    <m:ctrlPr>
                      <w:rPr>
                        <w:rFonts w:ascii="Cambria Math" w:hAnsi="Cambria Math"/>
                        <w:i/>
                        <w:sz w:val="21"/>
                      </w:rPr>
                    </m:ctrlPr>
                  </m:dPr>
                  <m:e>
                    <m:r>
                      <w:rPr>
                        <w:rFonts w:ascii="Cambria Math" w:hAnsi="Cambria Math"/>
                        <w:sz w:val="21"/>
                      </w:rPr>
                      <m:t>K</m:t>
                    </m:r>
                  </m:e>
                </m:d>
              </m:sub>
            </m:sSub>
          </m:sub>
        </m:sSub>
      </m:oMath>
      <w:r w:rsidRPr="00CC0F03">
        <w:rPr>
          <w:rFonts w:ascii="Cambria Math" w:hAnsi="Cambria Math"/>
          <w:sz w:val="21"/>
        </w:rPr>
        <w:t>,</w:t>
      </w:r>
      <w:r w:rsidRPr="00CC0F03">
        <w:rPr>
          <w:rFonts w:ascii="Cambria Math" w:hAnsi="Cambria Math"/>
          <w:sz w:val="21"/>
        </w:rPr>
        <w:tab/>
        <w:t>(3)</w:t>
      </w:r>
    </w:p>
    <w:p w14:paraId="1CDE117B" w14:textId="382ABF6C"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acc>
              <m:accPr>
                <m:chr m:val="̃"/>
                <m:ctrlPr>
                  <w:rPr>
                    <w:rFonts w:ascii="Cambria Math" w:hAnsi="Cambria Math"/>
                    <w:i/>
                    <w:sz w:val="21"/>
                  </w:rPr>
                </m:ctrlPr>
              </m:accPr>
              <m:e>
                <m:r>
                  <w:rPr>
                    <w:rFonts w:ascii="Cambria Math" w:hAnsi="Cambria Math"/>
                    <w:sz w:val="21"/>
                  </w:rPr>
                  <m:t>L</m:t>
                </m:r>
              </m:e>
            </m:acc>
          </m:e>
          <m:sub>
            <m:r>
              <w:rPr>
                <w:rFonts w:ascii="Cambria Math" w:hAnsi="Cambria Math"/>
                <w:sz w:val="21"/>
              </w:rPr>
              <m:t>u</m:t>
            </m:r>
            <m:d>
              <m:dPr>
                <m:ctrlPr>
                  <w:rPr>
                    <w:rFonts w:ascii="Cambria Math" w:hAnsi="Cambria Math"/>
                    <w:i/>
                    <w:sz w:val="21"/>
                  </w:rPr>
                </m:ctrlPr>
              </m:dPr>
              <m:e>
                <m:r>
                  <w:rPr>
                    <w:rFonts w:ascii="Cambria Math" w:hAnsi="Cambria Math"/>
                    <w:sz w:val="21"/>
                  </w:rPr>
                  <m:t>K</m:t>
                </m:r>
              </m:e>
            </m:d>
          </m:sub>
        </m:sSub>
        <m:r>
          <w:rPr>
            <w:rFonts w:ascii="Cambria Math" w:hAnsi="Cambria Math"/>
            <w:sz w:val="21"/>
          </w:rPr>
          <m:t>=</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L</m:t>
                </m:r>
              </m:e>
              <m:sub>
                <m:r>
                  <w:rPr>
                    <w:rFonts w:ascii="Cambria Math" w:hAnsi="Cambria Math"/>
                    <w:sz w:val="21"/>
                  </w:rPr>
                  <m:t>u</m:t>
                </m:r>
                <m:d>
                  <m:dPr>
                    <m:ctrlPr>
                      <w:rPr>
                        <w:rFonts w:ascii="Cambria Math" w:hAnsi="Cambria Math"/>
                        <w:i/>
                        <w:sz w:val="21"/>
                      </w:rPr>
                    </m:ctrlPr>
                  </m:dPr>
                  <m:e>
                    <m:r>
                      <w:rPr>
                        <w:rFonts w:ascii="Cambria Math" w:hAnsi="Cambria Math"/>
                        <w:sz w:val="21"/>
                      </w:rPr>
                      <m:t>K</m:t>
                    </m:r>
                  </m:e>
                </m:d>
              </m:sub>
            </m:sSub>
          </m:num>
          <m:den>
            <m:func>
              <m:funcPr>
                <m:ctrlPr>
                  <w:rPr>
                    <w:rFonts w:ascii="Cambria Math" w:hAnsi="Cambria Math"/>
                    <w:sz w:val="21"/>
                  </w:rPr>
                </m:ctrlPr>
              </m:funcPr>
              <m:fName>
                <m:limLow>
                  <m:limLowPr>
                    <m:ctrlPr>
                      <w:rPr>
                        <w:rFonts w:ascii="Cambria Math" w:hAnsi="Cambria Math"/>
                        <w:i/>
                        <w:sz w:val="21"/>
                      </w:rPr>
                    </m:ctrlPr>
                  </m:limLowPr>
                  <m:e>
                    <m:r>
                      <m:rPr>
                        <m:sty m:val="p"/>
                      </m:rPr>
                      <w:rPr>
                        <w:rFonts w:ascii="Cambria Math" w:hAnsi="Cambria Math"/>
                        <w:sz w:val="21"/>
                      </w:rPr>
                      <m:t>max</m:t>
                    </m:r>
                  </m:e>
                  <m:lim>
                    <m:r>
                      <w:rPr>
                        <w:rFonts w:ascii="Cambria Math" w:hAnsi="Cambria Math"/>
                        <w:sz w:val="21"/>
                      </w:rPr>
                      <m:t>j</m:t>
                    </m:r>
                    <m:ctrlPr>
                      <w:rPr>
                        <w:rFonts w:ascii="Cambria Math" w:hAnsi="Cambria Math"/>
                        <w:sz w:val="21"/>
                      </w:rPr>
                    </m:ctrlPr>
                  </m:lim>
                </m:limLow>
                <m:ctrlPr>
                  <w:rPr>
                    <w:rFonts w:ascii="Cambria Math" w:hAnsi="Cambria Math"/>
                    <w:i/>
                    <w:sz w:val="21"/>
                  </w:rPr>
                </m:ctrlPr>
              </m:fName>
              <m:e>
                <m:sSub>
                  <m:sSubPr>
                    <m:ctrlPr>
                      <w:rPr>
                        <w:rFonts w:ascii="Cambria Math" w:hAnsi="Cambria Math"/>
                        <w:i/>
                        <w:sz w:val="21"/>
                      </w:rPr>
                    </m:ctrlPr>
                  </m:sSubPr>
                  <m:e>
                    <m:r>
                      <w:rPr>
                        <w:rFonts w:ascii="Cambria Math" w:hAnsi="Cambria Math"/>
                        <w:sz w:val="21"/>
                      </w:rPr>
                      <m:t>A</m:t>
                    </m:r>
                  </m:e>
                  <m:sub>
                    <m:r>
                      <w:rPr>
                        <w:rFonts w:ascii="Cambria Math" w:hAnsi="Cambria Math"/>
                        <w:sz w:val="21"/>
                      </w:rPr>
                      <m:t>u,j</m:t>
                    </m:r>
                  </m:sub>
                </m:sSub>
                <m:ctrlPr>
                  <w:rPr>
                    <w:rFonts w:ascii="Cambria Math" w:hAnsi="Cambria Math"/>
                    <w:i/>
                    <w:sz w:val="21"/>
                  </w:rPr>
                </m:ctrlPr>
              </m:e>
            </m:func>
            <m:r>
              <w:rPr>
                <w:rFonts w:ascii="Cambria Math" w:hAnsi="Cambria Math"/>
                <w:sz w:val="21"/>
              </w:rPr>
              <m:t>-</m:t>
            </m:r>
            <m:func>
              <m:funcPr>
                <m:ctrlPr>
                  <w:rPr>
                    <w:rFonts w:ascii="Cambria Math" w:hAnsi="Cambria Math"/>
                    <w:sz w:val="21"/>
                  </w:rPr>
                </m:ctrlPr>
              </m:funcPr>
              <m:fName>
                <m:limLow>
                  <m:limLowPr>
                    <m:ctrlPr>
                      <w:rPr>
                        <w:rFonts w:ascii="Cambria Math" w:hAnsi="Cambria Math"/>
                        <w:i/>
                        <w:sz w:val="21"/>
                      </w:rPr>
                    </m:ctrlPr>
                  </m:limLowPr>
                  <m:e>
                    <m:r>
                      <m:rPr>
                        <m:sty m:val="p"/>
                      </m:rPr>
                      <w:rPr>
                        <w:rFonts w:ascii="Cambria Math" w:hAnsi="Cambria Math"/>
                        <w:sz w:val="21"/>
                      </w:rPr>
                      <m:t>min</m:t>
                    </m:r>
                  </m:e>
                  <m:lim>
                    <m:r>
                      <w:rPr>
                        <w:rFonts w:ascii="Cambria Math" w:hAnsi="Cambria Math"/>
                        <w:sz w:val="21"/>
                      </w:rPr>
                      <m:t>j</m:t>
                    </m:r>
                    <m:ctrlPr>
                      <w:rPr>
                        <w:rFonts w:ascii="Cambria Math" w:hAnsi="Cambria Math"/>
                        <w:sz w:val="21"/>
                      </w:rPr>
                    </m:ctrlPr>
                  </m:lim>
                </m:limLow>
                <m:ctrlPr>
                  <w:rPr>
                    <w:rFonts w:ascii="Cambria Math" w:hAnsi="Cambria Math"/>
                    <w:i/>
                    <w:sz w:val="21"/>
                  </w:rPr>
                </m:ctrlPr>
              </m:fName>
              <m:e>
                <m:sSub>
                  <m:sSubPr>
                    <m:ctrlPr>
                      <w:rPr>
                        <w:rFonts w:ascii="Cambria Math" w:hAnsi="Cambria Math"/>
                        <w:i/>
                        <w:sz w:val="21"/>
                      </w:rPr>
                    </m:ctrlPr>
                  </m:sSubPr>
                  <m:e>
                    <m:r>
                      <w:rPr>
                        <w:rFonts w:ascii="Cambria Math" w:hAnsi="Cambria Math"/>
                        <w:sz w:val="21"/>
                      </w:rPr>
                      <m:t>A</m:t>
                    </m:r>
                  </m:e>
                  <m:sub>
                    <m:r>
                      <w:rPr>
                        <w:rFonts w:ascii="Cambria Math" w:hAnsi="Cambria Math"/>
                        <w:sz w:val="21"/>
                      </w:rPr>
                      <m:t>u,j</m:t>
                    </m:r>
                  </m:sub>
                </m:sSub>
                <m:ctrlPr>
                  <w:rPr>
                    <w:rFonts w:ascii="Cambria Math" w:hAnsi="Cambria Math"/>
                    <w:i/>
                    <w:sz w:val="21"/>
                  </w:rPr>
                </m:ctrlPr>
              </m:e>
            </m:func>
            <m:r>
              <w:rPr>
                <w:rFonts w:ascii="Cambria Math" w:hAnsi="Cambria Math"/>
                <w:sz w:val="21"/>
              </w:rPr>
              <m:t>+ε</m:t>
            </m:r>
          </m:den>
        </m:f>
      </m:oMath>
      <w:r w:rsidRPr="00CC0F03">
        <w:rPr>
          <w:rFonts w:ascii="Cambria Math" w:hAnsi="Cambria Math"/>
          <w:sz w:val="21"/>
        </w:rPr>
        <w:t>,</w:t>
      </w:r>
      <w:r w:rsidRPr="00CC0F03">
        <w:rPr>
          <w:rFonts w:ascii="Cambria Math" w:hAnsi="Cambria Math"/>
          <w:sz w:val="21"/>
        </w:rPr>
        <w:tab/>
        <w:t>(4)</w:t>
      </w:r>
    </w:p>
    <w:p w14:paraId="0E514FD6" w14:textId="21474A1A"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hint="eastAsia"/>
          <w:sz w:val="21"/>
        </w:rPr>
        <w:tab/>
      </w:r>
      <m:oMath>
        <m:r>
          <w:rPr>
            <w:rFonts w:ascii="Cambria Math" w:hAnsi="Cambria Math" w:hint="eastAsia"/>
            <w:sz w:val="21"/>
          </w:rPr>
          <m:t>CAHi</m:t>
        </m:r>
        <m:sSub>
          <m:sSubPr>
            <m:ctrlPr>
              <w:rPr>
                <w:rFonts w:ascii="Cambria Math" w:hAnsi="Cambria Math"/>
                <w:i/>
                <w:sz w:val="21"/>
              </w:rPr>
            </m:ctrlPr>
          </m:sSubPr>
          <m:e>
            <m:r>
              <w:rPr>
                <w:rFonts w:ascii="Cambria Math" w:hAnsi="Cambria Math" w:hint="eastAsia"/>
                <w:sz w:val="21"/>
              </w:rPr>
              <m:t>t</m:t>
            </m:r>
            <m:ctrlPr>
              <w:rPr>
                <w:rFonts w:ascii="Cambria Math" w:hAnsi="Cambria Math" w:hint="eastAsia"/>
                <w:i/>
                <w:sz w:val="21"/>
              </w:rPr>
            </m:ctrlPr>
          </m:e>
          <m:sub>
            <m:r>
              <w:rPr>
                <w:rFonts w:ascii="Cambria Math" w:hAnsi="Cambria Math" w:hint="eastAsia"/>
                <w:sz w:val="21"/>
              </w:rPr>
              <m:t>q,u</m:t>
            </m:r>
          </m:sub>
        </m:sSub>
        <m:r>
          <w:rPr>
            <w:rFonts w:ascii="Cambria Math" w:hAnsi="Cambria Math" w:hint="eastAsia"/>
            <w:sz w:val="21"/>
          </w:rPr>
          <m:t>=</m:t>
        </m:r>
        <m:f>
          <m:fPr>
            <m:ctrlPr>
              <w:rPr>
                <w:rFonts w:ascii="Cambria Math" w:hAnsi="Cambria Math"/>
                <w:i/>
                <w:sz w:val="21"/>
              </w:rPr>
            </m:ctrlPr>
          </m:fPr>
          <m:num>
            <m:r>
              <w:rPr>
                <w:rFonts w:ascii="Cambria Math" w:hAnsi="Cambria Math" w:hint="eastAsia"/>
                <w:sz w:val="21"/>
              </w:rPr>
              <m:t>I</m:t>
            </m:r>
            <m:d>
              <m:dPr>
                <m:ctrlPr>
                  <w:rPr>
                    <w:rFonts w:ascii="Cambria Math" w:hAnsi="Cambria Math"/>
                    <w:i/>
                    <w:sz w:val="21"/>
                  </w:rPr>
                </m:ctrlPr>
              </m:dPr>
              <m:e>
                <m:sSub>
                  <m:sSubPr>
                    <m:ctrlPr>
                      <w:rPr>
                        <w:rFonts w:ascii="Cambria Math" w:hAnsi="Cambria Math"/>
                        <w:i/>
                        <w:sz w:val="21"/>
                      </w:rPr>
                    </m:ctrlPr>
                  </m:sSubPr>
                  <m:e>
                    <m:r>
                      <w:rPr>
                        <w:rFonts w:ascii="Cambria Math" w:hAnsi="Cambria Math" w:hint="eastAsia"/>
                        <w:sz w:val="21"/>
                      </w:rPr>
                      <m:t>r</m:t>
                    </m:r>
                  </m:e>
                  <m:sub>
                    <m:r>
                      <w:rPr>
                        <w:rFonts w:ascii="Cambria Math" w:hAnsi="Cambria Math" w:hint="eastAsia"/>
                        <w:sz w:val="21"/>
                      </w:rPr>
                      <m:t>u</m:t>
                    </m:r>
                  </m:sub>
                </m:sSub>
                <m:r>
                  <w:rPr>
                    <w:rFonts w:ascii="Cambria Math" w:hAnsi="Cambria Math" w:hint="eastAsia"/>
                    <w:sz w:val="21"/>
                  </w:rPr>
                  <m:t>≤</m:t>
                </m:r>
                <m:r>
                  <w:rPr>
                    <w:rFonts w:ascii="Cambria Math" w:hAnsi="Cambria Math" w:hint="eastAsia"/>
                    <w:sz w:val="21"/>
                  </w:rPr>
                  <m:t>q</m:t>
                </m:r>
              </m:e>
            </m:d>
            <m:r>
              <w:rPr>
                <w:rFonts w:ascii="Cambria Math" w:hAnsi="Cambria Math" w:cs="Cambria Math"/>
                <w:sz w:val="21"/>
              </w:rPr>
              <m:t>-</m:t>
            </m:r>
            <m:f>
              <m:fPr>
                <m:ctrlPr>
                  <w:rPr>
                    <w:rFonts w:ascii="Cambria Math" w:hAnsi="Cambria Math"/>
                    <w:i/>
                    <w:sz w:val="21"/>
                  </w:rPr>
                </m:ctrlPr>
              </m:fPr>
              <m:num>
                <m:r>
                  <w:rPr>
                    <w:rFonts w:ascii="Cambria Math" w:hAnsi="Cambria Math" w:hint="eastAsia"/>
                    <w:sz w:val="21"/>
                  </w:rPr>
                  <m:t>q</m:t>
                </m:r>
                <m:ctrlPr>
                  <w:rPr>
                    <w:rFonts w:ascii="Cambria Math" w:hAnsi="Cambria Math" w:cs="Cambria Math"/>
                    <w:i/>
                    <w:sz w:val="21"/>
                  </w:rPr>
                </m:ctrlPr>
              </m:num>
              <m:den>
                <m:r>
                  <w:rPr>
                    <w:rFonts w:ascii="Cambria Math" w:hAnsi="Cambria Math" w:hint="eastAsia"/>
                    <w:sz w:val="21"/>
                  </w:rPr>
                  <m:t>K</m:t>
                </m:r>
              </m:den>
            </m:f>
          </m:num>
          <m:den>
            <m:r>
              <w:rPr>
                <w:rFonts w:ascii="Cambria Math" w:hAnsi="Cambria Math" w:hint="eastAsia"/>
                <w:sz w:val="21"/>
              </w:rPr>
              <m:t>1</m:t>
            </m:r>
            <m:r>
              <w:rPr>
                <w:rFonts w:ascii="Cambria Math" w:hAnsi="Cambria Math" w:cs="Cambria Math"/>
                <w:sz w:val="21"/>
              </w:rPr>
              <m:t>-</m:t>
            </m:r>
            <m:f>
              <m:fPr>
                <m:ctrlPr>
                  <w:rPr>
                    <w:rFonts w:ascii="Cambria Math" w:hAnsi="Cambria Math"/>
                    <w:i/>
                    <w:sz w:val="21"/>
                  </w:rPr>
                </m:ctrlPr>
              </m:fPr>
              <m:num>
                <m:r>
                  <w:rPr>
                    <w:rFonts w:ascii="Cambria Math" w:hAnsi="Cambria Math" w:hint="eastAsia"/>
                    <w:sz w:val="21"/>
                  </w:rPr>
                  <m:t>q</m:t>
                </m:r>
                <m:ctrlPr>
                  <w:rPr>
                    <w:rFonts w:ascii="Cambria Math" w:hAnsi="Cambria Math" w:cs="Cambria Math"/>
                    <w:i/>
                    <w:sz w:val="21"/>
                  </w:rPr>
                </m:ctrlPr>
              </m:num>
              <m:den>
                <m:r>
                  <w:rPr>
                    <w:rFonts w:ascii="Cambria Math" w:hAnsi="Cambria Math" w:hint="eastAsia"/>
                    <w:sz w:val="21"/>
                  </w:rPr>
                  <m:t>K</m:t>
                </m:r>
              </m:den>
            </m:f>
          </m:den>
        </m:f>
        <m:r>
          <w:rPr>
            <w:rFonts w:ascii="Cambria Math" w:hAnsi="Cambria Math" w:hint="eastAsia"/>
            <w:sz w:val="21"/>
          </w:rPr>
          <m:t>, q=3</m:t>
        </m:r>
      </m:oMath>
      <w:r w:rsidRPr="00CC0F03">
        <w:rPr>
          <w:rFonts w:ascii="Cambria Math" w:hAnsi="Cambria Math" w:hint="eastAsia"/>
          <w:sz w:val="21"/>
        </w:rPr>
        <w:t>,</w:t>
      </w:r>
      <w:r w:rsidRPr="00CC0F03">
        <w:rPr>
          <w:rFonts w:ascii="Cambria Math" w:hAnsi="Cambria Math" w:hint="eastAsia"/>
          <w:sz w:val="21"/>
        </w:rPr>
        <w:tab/>
        <w:t>(5)</w:t>
      </w:r>
    </w:p>
    <w:p w14:paraId="60708867" w14:textId="7E9F0F7C"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r>
          <w:rPr>
            <w:rFonts w:ascii="Cambria Math" w:hAnsi="Cambria Math"/>
            <w:sz w:val="21"/>
          </w:rPr>
          <m:t>MR</m:t>
        </m:r>
        <m:sSub>
          <m:sSubPr>
            <m:ctrlPr>
              <w:rPr>
                <w:rFonts w:ascii="Cambria Math" w:hAnsi="Cambria Math"/>
                <w:i/>
                <w:sz w:val="21"/>
              </w:rPr>
            </m:ctrlPr>
          </m:sSubPr>
          <m:e>
            <m:r>
              <w:rPr>
                <w:rFonts w:ascii="Cambria Math" w:hAnsi="Cambria Math"/>
                <w:sz w:val="21"/>
              </w:rPr>
              <m:t>R</m:t>
            </m:r>
          </m:e>
          <m:sub>
            <m:r>
              <w:rPr>
                <w:rFonts w:ascii="Cambria Math" w:hAnsi="Cambria Math"/>
                <w:sz w:val="21"/>
              </w:rPr>
              <m:t>u</m:t>
            </m:r>
          </m:sub>
        </m:sSub>
        <m:r>
          <w:rPr>
            <w:rFonts w:ascii="Cambria Math" w:hAnsi="Cambria Math"/>
            <w:sz w:val="21"/>
          </w:rPr>
          <m:t>=</m:t>
        </m:r>
        <m:f>
          <m:fPr>
            <m:ctrlPr>
              <w:rPr>
                <w:rFonts w:ascii="Cambria Math" w:hAnsi="Cambria Math"/>
                <w:i/>
                <w:sz w:val="21"/>
              </w:rPr>
            </m:ctrlPr>
          </m:fPr>
          <m:num>
            <m:r>
              <w:rPr>
                <w:rFonts w:ascii="Cambria Math" w:hAnsi="Cambria Math"/>
                <w:sz w:val="21"/>
              </w:rPr>
              <m:t>1</m:t>
            </m:r>
          </m:num>
          <m:den>
            <m:sSub>
              <m:sSubPr>
                <m:ctrlPr>
                  <w:rPr>
                    <w:rFonts w:ascii="Cambria Math" w:hAnsi="Cambria Math"/>
                    <w:i/>
                    <w:sz w:val="21"/>
                  </w:rPr>
                </m:ctrlPr>
              </m:sSubPr>
              <m:e>
                <m:r>
                  <w:rPr>
                    <w:rFonts w:ascii="Cambria Math" w:hAnsi="Cambria Math"/>
                    <w:sz w:val="21"/>
                  </w:rPr>
                  <m:t>r</m:t>
                </m:r>
              </m:e>
              <m:sub>
                <m:r>
                  <w:rPr>
                    <w:rFonts w:ascii="Cambria Math" w:hAnsi="Cambria Math"/>
                    <w:sz w:val="21"/>
                  </w:rPr>
                  <m:t>u</m:t>
                </m:r>
              </m:sub>
            </m:sSub>
          </m:den>
        </m:f>
      </m:oMath>
      <w:r w:rsidRPr="00CC0F03">
        <w:rPr>
          <w:rFonts w:ascii="Cambria Math" w:hAnsi="Cambria Math"/>
          <w:sz w:val="21"/>
        </w:rPr>
        <w:t>,</w:t>
      </w:r>
      <w:r w:rsidRPr="00CC0F03">
        <w:rPr>
          <w:rFonts w:ascii="Cambria Math" w:hAnsi="Cambria Math"/>
          <w:sz w:val="21"/>
        </w:rPr>
        <w:tab/>
        <w:t>(6)</w:t>
      </w:r>
    </w:p>
    <w:p w14:paraId="582DB214" w14:textId="3178C021"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lastRenderedPageBreak/>
        <w:tab/>
      </w:r>
      <m:oMath>
        <m:sSub>
          <m:sSubPr>
            <m:ctrlPr>
              <w:rPr>
                <w:rFonts w:ascii="Cambria Math" w:hAnsi="Cambria Math"/>
                <w:i/>
                <w:sz w:val="21"/>
              </w:rPr>
            </m:ctrlPr>
          </m:sSubPr>
          <m:e>
            <m:r>
              <w:rPr>
                <w:rFonts w:ascii="Cambria Math" w:hAnsi="Cambria Math"/>
                <w:sz w:val="21"/>
              </w:rPr>
              <m:t>E</m:t>
            </m:r>
          </m:e>
          <m:sub>
            <m:r>
              <w:rPr>
                <w:rFonts w:ascii="Cambria Math" w:hAnsi="Cambria Math"/>
                <w:sz w:val="21"/>
              </w:rPr>
              <m:t>0</m:t>
            </m:r>
            <m:d>
              <m:dPr>
                <m:ctrlPr>
                  <w:rPr>
                    <w:rFonts w:ascii="Cambria Math" w:hAnsi="Cambria Math"/>
                    <w:i/>
                    <w:sz w:val="21"/>
                  </w:rPr>
                </m:ctrlPr>
              </m:dPr>
              <m:e>
                <m:r>
                  <w:rPr>
                    <w:rFonts w:ascii="Cambria Math" w:hAnsi="Cambria Math"/>
                    <w:sz w:val="21"/>
                  </w:rPr>
                  <m:t>MRR</m:t>
                </m:r>
              </m:e>
            </m:d>
          </m:sub>
        </m:sSub>
        <m:r>
          <w:rPr>
            <w:rFonts w:ascii="Cambria Math" w:hAnsi="Cambria Math"/>
            <w:sz w:val="21"/>
          </w:rPr>
          <m:t>=</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H</m:t>
                </m:r>
              </m:e>
              <m:sub>
                <m:r>
                  <w:rPr>
                    <w:rFonts w:ascii="Cambria Math" w:hAnsi="Cambria Math"/>
                    <w:sz w:val="21"/>
                  </w:rPr>
                  <m:t>K</m:t>
                </m:r>
              </m:sub>
            </m:sSub>
          </m:num>
          <m:den>
            <m:r>
              <w:rPr>
                <w:rFonts w:ascii="Cambria Math" w:hAnsi="Cambria Math"/>
                <w:sz w:val="21"/>
              </w:rPr>
              <m:t>K</m:t>
            </m:r>
          </m:den>
        </m:f>
      </m:oMath>
      <w:r w:rsidRPr="00CC0F03">
        <w:rPr>
          <w:rFonts w:ascii="Cambria Math" w:hAnsi="Cambria Math"/>
          <w:sz w:val="21"/>
        </w:rPr>
        <w:t>,</w:t>
      </w:r>
      <w:r w:rsidRPr="00CC0F03">
        <w:rPr>
          <w:rFonts w:ascii="Cambria Math" w:hAnsi="Cambria Math"/>
          <w:sz w:val="21"/>
        </w:rPr>
        <w:tab/>
        <w:t>(7)</w:t>
      </w:r>
    </w:p>
    <w:p w14:paraId="6C15A139" w14:textId="37CCFCF3"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r>
          <w:rPr>
            <w:rFonts w:ascii="Cambria Math" w:hAnsi="Cambria Math"/>
            <w:sz w:val="21"/>
          </w:rPr>
          <m:t>MR</m:t>
        </m:r>
        <m:sSub>
          <m:sSubPr>
            <m:ctrlPr>
              <w:rPr>
                <w:rFonts w:ascii="Cambria Math" w:hAnsi="Cambria Math"/>
                <w:i/>
                <w:sz w:val="21"/>
              </w:rPr>
            </m:ctrlPr>
          </m:sSubPr>
          <m:e>
            <m:acc>
              <m:accPr>
                <m:chr m:val="̃"/>
                <m:ctrlPr>
                  <w:rPr>
                    <w:rFonts w:ascii="Cambria Math" w:hAnsi="Cambria Math"/>
                    <w:i/>
                    <w:sz w:val="21"/>
                  </w:rPr>
                </m:ctrlPr>
              </m:accPr>
              <m:e>
                <m:r>
                  <w:rPr>
                    <w:rFonts w:ascii="Cambria Math" w:hAnsi="Cambria Math"/>
                    <w:sz w:val="21"/>
                  </w:rPr>
                  <m:t>R</m:t>
                </m:r>
              </m:e>
            </m:acc>
          </m:e>
          <m:sub>
            <m:r>
              <w:rPr>
                <w:rFonts w:ascii="Cambria Math" w:hAnsi="Cambria Math"/>
                <w:sz w:val="21"/>
              </w:rPr>
              <m:t>u</m:t>
            </m:r>
          </m:sub>
        </m:sSub>
        <m:r>
          <w:rPr>
            <w:rFonts w:ascii="Cambria Math" w:hAnsi="Cambria Math"/>
            <w:sz w:val="21"/>
          </w:rPr>
          <m:t>=</m:t>
        </m:r>
        <m:f>
          <m:fPr>
            <m:ctrlPr>
              <w:rPr>
                <w:rFonts w:ascii="Cambria Math" w:hAnsi="Cambria Math"/>
                <w:i/>
                <w:sz w:val="21"/>
              </w:rPr>
            </m:ctrlPr>
          </m:fPr>
          <m:num>
            <m:r>
              <w:rPr>
                <w:rFonts w:ascii="Cambria Math" w:hAnsi="Cambria Math"/>
                <w:sz w:val="21"/>
              </w:rPr>
              <m:t>MR</m:t>
            </m:r>
            <m:sSub>
              <m:sSubPr>
                <m:ctrlPr>
                  <w:rPr>
                    <w:rFonts w:ascii="Cambria Math" w:hAnsi="Cambria Math"/>
                    <w:i/>
                    <w:sz w:val="21"/>
                  </w:rPr>
                </m:ctrlPr>
              </m:sSubPr>
              <m:e>
                <m:r>
                  <w:rPr>
                    <w:rFonts w:ascii="Cambria Math" w:hAnsi="Cambria Math"/>
                    <w:sz w:val="21"/>
                  </w:rPr>
                  <m:t>R</m:t>
                </m:r>
              </m:e>
              <m:sub>
                <m:r>
                  <w:rPr>
                    <w:rFonts w:ascii="Cambria Math" w:hAnsi="Cambria Math"/>
                    <w:sz w:val="21"/>
                  </w:rPr>
                  <m:t>u</m:t>
                </m:r>
              </m:sub>
            </m:sSub>
            <m:r>
              <w:rPr>
                <w:rFonts w:ascii="Cambria Math" w:hAnsi="Cambria Math"/>
                <w:sz w:val="21"/>
              </w:rPr>
              <m:t>-</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H</m:t>
                    </m:r>
                  </m:e>
                  <m:sub>
                    <m:r>
                      <w:rPr>
                        <w:rFonts w:ascii="Cambria Math" w:hAnsi="Cambria Math"/>
                        <w:sz w:val="21"/>
                      </w:rPr>
                      <m:t>K</m:t>
                    </m:r>
                  </m:sub>
                </m:sSub>
              </m:num>
              <m:den>
                <m:r>
                  <w:rPr>
                    <w:rFonts w:ascii="Cambria Math" w:hAnsi="Cambria Math"/>
                    <w:sz w:val="21"/>
                  </w:rPr>
                  <m:t>K</m:t>
                </m:r>
              </m:den>
            </m:f>
          </m:num>
          <m:den>
            <m:r>
              <w:rPr>
                <w:rFonts w:ascii="Cambria Math" w:hAnsi="Cambria Math"/>
                <w:sz w:val="21"/>
              </w:rPr>
              <m:t>1-</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H</m:t>
                    </m:r>
                  </m:e>
                  <m:sub>
                    <m:r>
                      <w:rPr>
                        <w:rFonts w:ascii="Cambria Math" w:hAnsi="Cambria Math"/>
                        <w:sz w:val="21"/>
                      </w:rPr>
                      <m:t>K</m:t>
                    </m:r>
                  </m:sub>
                </m:sSub>
              </m:num>
              <m:den>
                <m:r>
                  <w:rPr>
                    <w:rFonts w:ascii="Cambria Math" w:hAnsi="Cambria Math"/>
                    <w:sz w:val="21"/>
                  </w:rPr>
                  <m:t>K</m:t>
                </m:r>
              </m:den>
            </m:f>
          </m:den>
        </m:f>
      </m:oMath>
      <w:r w:rsidRPr="00CC0F03">
        <w:rPr>
          <w:rFonts w:ascii="Cambria Math" w:hAnsi="Cambria Math"/>
          <w:sz w:val="21"/>
        </w:rPr>
        <w:t>.</w:t>
      </w:r>
      <w:r w:rsidRPr="00CC0F03">
        <w:rPr>
          <w:rFonts w:ascii="Cambria Math" w:hAnsi="Cambria Math"/>
          <w:sz w:val="21"/>
        </w:rPr>
        <w:tab/>
        <w:t>(8)</w:t>
      </w:r>
    </w:p>
    <w:p w14:paraId="14D7007F" w14:textId="77777777" w:rsidR="00EE56A9" w:rsidRDefault="00721CC4">
      <w:pPr>
        <w:pStyle w:val="31"/>
      </w:pPr>
      <w:r>
        <w:t>交叉拟合参照</w:t>
      </w:r>
    </w:p>
    <w:p w14:paraId="173AB41F" w14:textId="77777777" w:rsidR="00EE56A9" w:rsidRDefault="00721CC4">
      <w:r>
        <w:t xml:space="preserve">U_(-s) </w:t>
      </w:r>
      <w:r>
        <w:t>表示除留出种子</w:t>
      </w:r>
      <w:r>
        <w:t xml:space="preserve"> s </w:t>
      </w:r>
      <w:r>
        <w:t>外的所有外层单元；</w:t>
      </w:r>
      <w:r>
        <w:t xml:space="preserve">S = 5 </w:t>
      </w:r>
      <w:r>
        <w:t>与</w:t>
      </w:r>
      <w:r>
        <w:t xml:space="preserve"> F = 3 </w:t>
      </w:r>
      <w:r>
        <w:t>分别为重复种子数和每个种子的外层折数。</w:t>
      </w:r>
    </w:p>
    <w:p w14:paraId="421CD4A4" w14:textId="317C94D8"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hint="eastAsia"/>
          <w:sz w:val="21"/>
        </w:rPr>
        <w:tab/>
      </w:r>
      <m:oMath>
        <m:sSub>
          <m:sSubPr>
            <m:ctrlPr>
              <w:rPr>
                <w:rFonts w:ascii="Cambria Math" w:hAnsi="Cambria Math"/>
                <w:i/>
                <w:sz w:val="21"/>
              </w:rPr>
            </m:ctrlPr>
          </m:sSubPr>
          <m:e>
            <m:r>
              <w:rPr>
                <w:rFonts w:ascii="Cambria Math" w:hAnsi="Cambria Math" w:hint="eastAsia"/>
                <w:sz w:val="21"/>
              </w:rPr>
              <m:t>j</m:t>
            </m:r>
            <m:ctrlPr>
              <w:rPr>
                <w:rFonts w:ascii="Cambria Math" w:hAnsi="Cambria Math" w:hint="eastAsia"/>
                <w:i/>
                <w:sz w:val="21"/>
              </w:rPr>
            </m:ctrlPr>
          </m:e>
          <m:sub>
            <m:r>
              <w:rPr>
                <w:rFonts w:ascii="Cambria Math" w:hAnsi="Cambria Math" w:hint="eastAsia"/>
                <w:sz w:val="21"/>
              </w:rPr>
              <m:t>re</m:t>
            </m:r>
            <m:sSub>
              <m:sSubPr>
                <m:ctrlPr>
                  <w:rPr>
                    <w:rFonts w:ascii="Cambria Math" w:hAnsi="Cambria Math"/>
                    <w:i/>
                    <w:sz w:val="21"/>
                  </w:rPr>
                </m:ctrlPr>
              </m:sSubPr>
              <m:e>
                <m:r>
                  <w:rPr>
                    <w:rFonts w:ascii="Cambria Math" w:hAnsi="Cambria Math" w:hint="eastAsia"/>
                    <w:sz w:val="21"/>
                  </w:rPr>
                  <m:t>f</m:t>
                </m:r>
                <m:ctrlPr>
                  <w:rPr>
                    <w:rFonts w:ascii="Cambria Math" w:hAnsi="Cambria Math" w:hint="eastAsia"/>
                    <w:i/>
                    <w:sz w:val="21"/>
                  </w:rPr>
                </m:ctrlPr>
              </m:e>
              <m:sub>
                <m:d>
                  <m:dPr>
                    <m:ctrlPr>
                      <w:rPr>
                        <w:rFonts w:ascii="Cambria Math" w:hAnsi="Cambria Math"/>
                        <w:i/>
                        <w:sz w:val="21"/>
                      </w:rPr>
                    </m:ctrlPr>
                  </m:dPr>
                  <m:e>
                    <m:r>
                      <w:rPr>
                        <w:rFonts w:ascii="Cambria Math" w:hAnsi="Cambria Math" w:cs="Cambria Math"/>
                        <w:sz w:val="21"/>
                      </w:rPr>
                      <m:t>-</m:t>
                    </m:r>
                    <m:r>
                      <w:rPr>
                        <w:rFonts w:ascii="Cambria Math" w:hAnsi="Cambria Math" w:hint="eastAsia"/>
                        <w:sz w:val="21"/>
                      </w:rPr>
                      <m:t>s</m:t>
                    </m:r>
                  </m:e>
                </m:d>
                <m:d>
                  <m:dPr>
                    <m:ctrlPr>
                      <w:rPr>
                        <w:rFonts w:ascii="Cambria Math" w:hAnsi="Cambria Math"/>
                        <w:i/>
                        <w:sz w:val="21"/>
                      </w:rPr>
                    </m:ctrlPr>
                  </m:dPr>
                  <m:e>
                    <m:r>
                      <w:rPr>
                        <w:rFonts w:ascii="Cambria Math" w:hAnsi="Cambria Math" w:hint="eastAsia"/>
                        <w:sz w:val="21"/>
                      </w:rPr>
                      <m:t>K</m:t>
                    </m:r>
                  </m:e>
                </m:d>
              </m:sub>
            </m:sSub>
          </m:sub>
        </m:sSub>
        <m:r>
          <w:rPr>
            <w:rFonts w:ascii="Cambria Math" w:hAnsi="Cambria Math" w:hint="eastAsia"/>
            <w:sz w:val="21"/>
          </w:rPr>
          <m:t>=</m:t>
        </m:r>
        <m:func>
          <m:funcPr>
            <m:ctrlPr>
              <w:rPr>
                <w:rFonts w:ascii="Cambria Math" w:hAnsi="Cambria Math"/>
                <w:sz w:val="21"/>
              </w:rPr>
            </m:ctrlPr>
          </m:funcPr>
          <m:fName>
            <m:r>
              <m:rPr>
                <m:sty m:val="p"/>
              </m:rPr>
              <w:rPr>
                <w:rFonts w:ascii="Cambria Math" w:hAnsi="Cambria Math"/>
                <w:sz w:val="21"/>
              </w:rPr>
              <m:t>arg</m:t>
            </m:r>
            <m:ctrlPr>
              <w:rPr>
                <w:rFonts w:ascii="Cambria Math" w:hAnsi="Cambria Math"/>
                <w:i/>
                <w:sz w:val="21"/>
              </w:rPr>
            </m:ctrlPr>
          </m:fName>
          <m:e>
            <m:func>
              <m:funcPr>
                <m:ctrlPr>
                  <w:rPr>
                    <w:rFonts w:ascii="Cambria Math" w:hAnsi="Cambria Math"/>
                    <w:sz w:val="21"/>
                  </w:rPr>
                </m:ctrlPr>
              </m:funcPr>
              <m:fName>
                <m:limLow>
                  <m:limLowPr>
                    <m:ctrlPr>
                      <w:rPr>
                        <w:rFonts w:ascii="Cambria Math" w:hAnsi="Cambria Math"/>
                        <w:i/>
                        <w:sz w:val="21"/>
                      </w:rPr>
                    </m:ctrlPr>
                  </m:limLowPr>
                  <m:e>
                    <m:r>
                      <m:rPr>
                        <m:sty m:val="p"/>
                      </m:rPr>
                      <w:rPr>
                        <w:rFonts w:ascii="Cambria Math" w:hAnsi="Cambria Math"/>
                        <w:sz w:val="21"/>
                      </w:rPr>
                      <m:t>max</m:t>
                    </m:r>
                    <m:ctrlPr>
                      <w:rPr>
                        <w:rFonts w:ascii="Cambria Math" w:hAnsi="Cambria Math"/>
                        <w:sz w:val="21"/>
                      </w:rPr>
                    </m:ctrlPr>
                  </m:e>
                  <m:lim>
                    <m:r>
                      <w:rPr>
                        <w:rFonts w:ascii="Cambria Math" w:hAnsi="Cambria Math" w:hint="eastAsia"/>
                        <w:sz w:val="21"/>
                      </w:rPr>
                      <m:t>j</m:t>
                    </m:r>
                    <m:ctrlPr>
                      <w:rPr>
                        <w:rFonts w:ascii="Cambria Math" w:hAnsi="Cambria Math"/>
                        <w:sz w:val="21"/>
                      </w:rPr>
                    </m:ctrlPr>
                  </m:lim>
                </m:limLow>
              </m:fName>
              <m:e>
                <m:d>
                  <m:dPr>
                    <m:begChr m:val="["/>
                    <m:endChr m:val="]"/>
                    <m:ctrlPr>
                      <w:rPr>
                        <w:rFonts w:ascii="Cambria Math" w:hAnsi="Cambria Math"/>
                        <w:i/>
                        <w:sz w:val="21"/>
                      </w:rPr>
                    </m:ctrlPr>
                  </m:dPr>
                  <m:e>
                    <m:d>
                      <m:dPr>
                        <m:ctrlPr>
                          <w:rPr>
                            <w:rFonts w:ascii="Cambria Math" w:hAnsi="Cambria Math"/>
                            <w:i/>
                            <w:sz w:val="21"/>
                          </w:rPr>
                        </m:ctrlPr>
                      </m:dPr>
                      <m:e>
                        <m:f>
                          <m:fPr>
                            <m:ctrlPr>
                              <w:rPr>
                                <w:rFonts w:ascii="Cambria Math" w:hAnsi="Cambria Math"/>
                                <w:i/>
                                <w:sz w:val="21"/>
                              </w:rPr>
                            </m:ctrlPr>
                          </m:fPr>
                          <m:num>
                            <m:r>
                              <w:rPr>
                                <w:rFonts w:ascii="Cambria Math" w:hAnsi="Cambria Math" w:hint="eastAsia"/>
                                <w:sz w:val="21"/>
                              </w:rPr>
                              <m:t>1</m:t>
                            </m:r>
                          </m:num>
                          <m:den>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hint="eastAsia"/>
                                        <w:sz w:val="21"/>
                                      </w:rPr>
                                      <m:t>U</m:t>
                                    </m:r>
                                  </m:e>
                                  <m:sub>
                                    <m:r>
                                      <w:rPr>
                                        <w:rFonts w:ascii="Cambria Math" w:hAnsi="Cambria Math" w:cs="Cambria Math"/>
                                        <w:sz w:val="21"/>
                                      </w:rPr>
                                      <m:t>-</m:t>
                                    </m:r>
                                    <m:r>
                                      <w:rPr>
                                        <w:rFonts w:ascii="Cambria Math" w:hAnsi="Cambria Math" w:hint="eastAsia"/>
                                        <w:sz w:val="21"/>
                                      </w:rPr>
                                      <m:t>s</m:t>
                                    </m:r>
                                  </m:sub>
                                </m:sSub>
                              </m:e>
                            </m:d>
                          </m:den>
                        </m:f>
                      </m:e>
                    </m:d>
                    <m:nary>
                      <m:naryPr>
                        <m:chr m:val="∑"/>
                        <m:supHide m:val="1"/>
                        <m:ctrlPr>
                          <w:rPr>
                            <w:rFonts w:ascii="Cambria Math" w:hAnsi="Cambria Math"/>
                            <w:i/>
                            <w:sz w:val="21"/>
                          </w:rPr>
                        </m:ctrlPr>
                      </m:naryPr>
                      <m:sub>
                        <m:r>
                          <w:rPr>
                            <w:rFonts w:ascii="Cambria Math" w:hAnsi="Cambria Math" w:hint="eastAsia"/>
                            <w:sz w:val="21"/>
                          </w:rPr>
                          <m:t>u</m:t>
                        </m:r>
                        <m:r>
                          <w:rPr>
                            <w:rFonts w:ascii="Cambria Math" w:hAnsi="Cambria Math" w:hint="eastAsia"/>
                            <w:sz w:val="21"/>
                          </w:rPr>
                          <m:t>∈</m:t>
                        </m:r>
                        <m:sSub>
                          <m:sSubPr>
                            <m:ctrlPr>
                              <w:rPr>
                                <w:rFonts w:ascii="Cambria Math" w:hAnsi="Cambria Math"/>
                                <w:i/>
                                <w:sz w:val="21"/>
                              </w:rPr>
                            </m:ctrlPr>
                          </m:sSubPr>
                          <m:e>
                            <m:r>
                              <w:rPr>
                                <w:rFonts w:ascii="Cambria Math" w:hAnsi="Cambria Math" w:hint="eastAsia"/>
                                <w:sz w:val="21"/>
                              </w:rPr>
                              <m:t>U</m:t>
                            </m:r>
                          </m:e>
                          <m:sub>
                            <m:r>
                              <w:rPr>
                                <w:rFonts w:ascii="Cambria Math" w:hAnsi="Cambria Math" w:cs="Cambria Math"/>
                                <w:sz w:val="21"/>
                              </w:rPr>
                              <m:t>-</m:t>
                            </m:r>
                            <m:r>
                              <w:rPr>
                                <w:rFonts w:ascii="Cambria Math" w:hAnsi="Cambria Math" w:hint="eastAsia"/>
                                <w:sz w:val="21"/>
                              </w:rPr>
                              <m:t>s</m:t>
                            </m:r>
                          </m:sub>
                        </m:sSub>
                      </m:sub>
                      <m:sup/>
                      <m:e>
                        <m:sSub>
                          <m:sSubPr>
                            <m:ctrlPr>
                              <w:rPr>
                                <w:rFonts w:ascii="Cambria Math" w:hAnsi="Cambria Math"/>
                                <w:i/>
                                <w:sz w:val="21"/>
                              </w:rPr>
                            </m:ctrlPr>
                          </m:sSubPr>
                          <m:e>
                            <m:r>
                              <w:rPr>
                                <w:rFonts w:ascii="Cambria Math" w:hAnsi="Cambria Math" w:hint="eastAsia"/>
                                <w:sz w:val="21"/>
                              </w:rPr>
                              <m:t>A</m:t>
                            </m:r>
                          </m:e>
                          <m:sub>
                            <m:r>
                              <w:rPr>
                                <w:rFonts w:ascii="Cambria Math" w:hAnsi="Cambria Math" w:hint="eastAsia"/>
                                <w:sz w:val="21"/>
                              </w:rPr>
                              <m:t>u,j</m:t>
                            </m:r>
                          </m:sub>
                        </m:sSub>
                      </m:e>
                    </m:nary>
                  </m:e>
                </m:d>
                <m:ctrlPr>
                  <w:rPr>
                    <w:rFonts w:ascii="Cambria Math" w:hAnsi="Cambria Math"/>
                    <w:i/>
                    <w:sz w:val="21"/>
                  </w:rPr>
                </m:ctrlPr>
              </m:e>
            </m:func>
          </m:e>
        </m:func>
      </m:oMath>
      <w:r w:rsidRPr="00CC0F03">
        <w:rPr>
          <w:rFonts w:ascii="Cambria Math" w:hAnsi="Cambria Math" w:hint="eastAsia"/>
          <w:sz w:val="21"/>
        </w:rPr>
        <w:t>,</w:t>
      </w:r>
      <w:r w:rsidRPr="00CC0F03">
        <w:rPr>
          <w:rFonts w:ascii="Cambria Math" w:hAnsi="Cambria Math" w:hint="eastAsia"/>
          <w:sz w:val="21"/>
        </w:rPr>
        <w:tab/>
        <w:t>(9)</w:t>
      </w:r>
    </w:p>
    <w:p w14:paraId="67166713" w14:textId="48FE8484" w:rsidR="00EE56A9" w:rsidRPr="00CC0F03" w:rsidRDefault="00CC0F03" w:rsidP="00CC0F03">
      <w:pPr>
        <w:keepLines/>
        <w:tabs>
          <w:tab w:val="center" w:pos="4680"/>
          <w:tab w:val="right" w:pos="9360"/>
        </w:tabs>
        <w:spacing w:before="60" w:after="60"/>
        <w:rPr>
          <w:rFonts w:ascii="Cambria Math" w:hAnsi="Cambria Math"/>
          <w:sz w:val="18"/>
        </w:rPr>
      </w:pPr>
      <w:r w:rsidRPr="00CC0F03">
        <w:rPr>
          <w:rFonts w:ascii="Cambria Math" w:hAnsi="Cambria Math"/>
          <w:sz w:val="18"/>
        </w:rPr>
        <w:tab/>
      </w:r>
      <m:oMath>
        <m:sSub>
          <m:sSubPr>
            <m:ctrlPr>
              <w:rPr>
                <w:rFonts w:ascii="Cambria Math" w:hAnsi="Cambria Math"/>
                <w:i/>
                <w:sz w:val="18"/>
              </w:rPr>
            </m:ctrlPr>
          </m:sSubPr>
          <m:e>
            <m:r>
              <w:rPr>
                <w:rFonts w:ascii="Cambria Math" w:hAnsi="Cambria Math"/>
                <w:sz w:val="18"/>
              </w:rPr>
              <m:t>L</m:t>
            </m:r>
          </m:e>
          <m:sub>
            <m:d>
              <m:dPr>
                <m:ctrlPr>
                  <w:rPr>
                    <w:rFonts w:ascii="Cambria Math" w:hAnsi="Cambria Math"/>
                    <w:i/>
                    <w:sz w:val="18"/>
                  </w:rPr>
                </m:ctrlPr>
              </m:dPr>
              <m:e>
                <m:r>
                  <w:rPr>
                    <w:rFonts w:ascii="Cambria Math" w:hAnsi="Cambria Math"/>
                    <w:sz w:val="18"/>
                  </w:rPr>
                  <m:t>CF,s</m:t>
                </m:r>
              </m:e>
            </m:d>
            <m:d>
              <m:dPr>
                <m:ctrlPr>
                  <w:rPr>
                    <w:rFonts w:ascii="Cambria Math" w:hAnsi="Cambria Math"/>
                    <w:i/>
                    <w:sz w:val="18"/>
                  </w:rPr>
                </m:ctrlPr>
              </m:dPr>
              <m:e>
                <m:r>
                  <w:rPr>
                    <w:rFonts w:ascii="Cambria Math" w:hAnsi="Cambria Math"/>
                    <w:sz w:val="18"/>
                  </w:rPr>
                  <m:t>K</m:t>
                </m:r>
              </m:e>
            </m:d>
          </m:sub>
        </m:sSub>
        <m:r>
          <w:rPr>
            <w:rFonts w:ascii="Cambria Math" w:hAnsi="Cambria Math"/>
            <w:sz w:val="18"/>
          </w:rPr>
          <m:t>=</m:t>
        </m:r>
        <m:d>
          <m:dPr>
            <m:ctrlPr>
              <w:rPr>
                <w:rFonts w:ascii="Cambria Math" w:hAnsi="Cambria Math"/>
                <w:i/>
                <w:sz w:val="18"/>
              </w:rPr>
            </m:ctrlPr>
          </m:dPr>
          <m:e>
            <m:f>
              <m:fPr>
                <m:ctrlPr>
                  <w:rPr>
                    <w:rFonts w:ascii="Cambria Math" w:hAnsi="Cambria Math"/>
                    <w:i/>
                    <w:sz w:val="18"/>
                  </w:rPr>
                </m:ctrlPr>
              </m:fPr>
              <m:num>
                <m:r>
                  <w:rPr>
                    <w:rFonts w:ascii="Cambria Math" w:hAnsi="Cambria Math"/>
                    <w:sz w:val="18"/>
                  </w:rPr>
                  <m:t>1</m:t>
                </m:r>
              </m:num>
              <m:den>
                <m:r>
                  <w:rPr>
                    <w:rFonts w:ascii="Cambria Math" w:hAnsi="Cambria Math"/>
                    <w:sz w:val="18"/>
                  </w:rPr>
                  <m:t>F</m:t>
                </m:r>
              </m:den>
            </m:f>
          </m:e>
        </m:d>
        <m:nary>
          <m:naryPr>
            <m:chr m:val="∑"/>
            <m:ctrlPr>
              <w:rPr>
                <w:rFonts w:ascii="Cambria Math" w:hAnsi="Cambria Math"/>
                <w:i/>
                <w:sz w:val="18"/>
              </w:rPr>
            </m:ctrlPr>
          </m:naryPr>
          <m:sub>
            <m:r>
              <w:rPr>
                <w:rFonts w:ascii="Cambria Math" w:hAnsi="Cambria Math"/>
                <w:sz w:val="18"/>
              </w:rPr>
              <m:t>f=1</m:t>
            </m:r>
          </m:sub>
          <m:sup>
            <m:r>
              <w:rPr>
                <w:rFonts w:ascii="Cambria Math" w:hAnsi="Cambria Math"/>
                <w:sz w:val="18"/>
              </w:rPr>
              <m:t>F</m:t>
            </m:r>
          </m:sup>
          <m:e>
            <m:d>
              <m:dPr>
                <m:begChr m:val="["/>
                <m:endChr m:val="]"/>
                <m:ctrlPr>
                  <w:rPr>
                    <w:rFonts w:ascii="Cambria Math" w:hAnsi="Cambria Math"/>
                    <w:i/>
                    <w:sz w:val="18"/>
                  </w:rPr>
                </m:ctrlPr>
              </m:dPr>
              <m:e>
                <m:sSub>
                  <m:sSubPr>
                    <m:ctrlPr>
                      <w:rPr>
                        <w:rFonts w:ascii="Cambria Math" w:hAnsi="Cambria Math"/>
                        <w:i/>
                        <w:sz w:val="18"/>
                      </w:rPr>
                    </m:ctrlPr>
                  </m:sSubPr>
                  <m:e>
                    <m:r>
                      <w:rPr>
                        <w:rFonts w:ascii="Cambria Math" w:hAnsi="Cambria Math"/>
                        <w:sz w:val="18"/>
                      </w:rPr>
                      <m:t>A</m:t>
                    </m:r>
                  </m:e>
                  <m:sub>
                    <m:d>
                      <m:dPr>
                        <m:ctrlPr>
                          <w:rPr>
                            <w:rFonts w:ascii="Cambria Math" w:hAnsi="Cambria Math"/>
                            <w:i/>
                            <w:sz w:val="18"/>
                          </w:rPr>
                        </m:ctrlPr>
                      </m:dPr>
                      <m:e>
                        <m:r>
                          <w:rPr>
                            <w:rFonts w:ascii="Cambria Math" w:hAnsi="Cambria Math"/>
                            <w:sz w:val="18"/>
                          </w:rPr>
                          <m:t>s,f</m:t>
                        </m:r>
                      </m:e>
                    </m:d>
                    <m:r>
                      <w:rPr>
                        <w:rFonts w:ascii="Cambria Math" w:hAnsi="Cambria Math"/>
                        <w:sz w:val="18"/>
                      </w:rPr>
                      <m:t>,</m:t>
                    </m:r>
                    <m:sSub>
                      <m:sSubPr>
                        <m:ctrlPr>
                          <w:rPr>
                            <w:rFonts w:ascii="Cambria Math" w:hAnsi="Cambria Math"/>
                            <w:i/>
                            <w:sz w:val="18"/>
                          </w:rPr>
                        </m:ctrlPr>
                      </m:sSubPr>
                      <m:e>
                        <m:r>
                          <w:rPr>
                            <w:rFonts w:ascii="Cambria Math" w:hAnsi="Cambria Math"/>
                            <w:sz w:val="18"/>
                          </w:rPr>
                          <m:t>j</m:t>
                        </m:r>
                      </m:e>
                      <m:sub>
                        <m:r>
                          <w:rPr>
                            <w:rFonts w:ascii="Cambria Math" w:hAnsi="Cambria Math"/>
                            <w:sz w:val="18"/>
                          </w:rPr>
                          <m:t>re</m:t>
                        </m:r>
                        <m:sSub>
                          <m:sSubPr>
                            <m:ctrlPr>
                              <w:rPr>
                                <w:rFonts w:ascii="Cambria Math" w:hAnsi="Cambria Math"/>
                                <w:i/>
                                <w:sz w:val="18"/>
                              </w:rPr>
                            </m:ctrlPr>
                          </m:sSubPr>
                          <m:e>
                            <m:r>
                              <w:rPr>
                                <w:rFonts w:ascii="Cambria Math" w:hAnsi="Cambria Math"/>
                                <w:sz w:val="18"/>
                              </w:rPr>
                              <m:t>f</m:t>
                            </m:r>
                          </m:e>
                          <m:sub>
                            <m:d>
                              <m:dPr>
                                <m:ctrlPr>
                                  <w:rPr>
                                    <w:rFonts w:ascii="Cambria Math" w:hAnsi="Cambria Math"/>
                                    <w:i/>
                                    <w:sz w:val="18"/>
                                  </w:rPr>
                                </m:ctrlPr>
                              </m:dPr>
                              <m:e>
                                <m:r>
                                  <w:rPr>
                                    <w:rFonts w:ascii="Cambria Math" w:hAnsi="Cambria Math"/>
                                    <w:sz w:val="18"/>
                                  </w:rPr>
                                  <m:t>-s</m:t>
                                </m:r>
                              </m:e>
                            </m:d>
                            <m:d>
                              <m:dPr>
                                <m:ctrlPr>
                                  <w:rPr>
                                    <w:rFonts w:ascii="Cambria Math" w:hAnsi="Cambria Math"/>
                                    <w:i/>
                                    <w:sz w:val="18"/>
                                  </w:rPr>
                                </m:ctrlPr>
                              </m:dPr>
                              <m:e>
                                <m:r>
                                  <w:rPr>
                                    <w:rFonts w:ascii="Cambria Math" w:hAnsi="Cambria Math"/>
                                    <w:sz w:val="18"/>
                                  </w:rPr>
                                  <m:t>K</m:t>
                                </m:r>
                              </m:e>
                            </m:d>
                          </m:sub>
                        </m:sSub>
                      </m:sub>
                    </m:sSub>
                  </m:sub>
                </m:sSub>
                <m:r>
                  <w:rPr>
                    <w:rFonts w:ascii="Cambria Math" w:hAnsi="Cambria Math"/>
                    <w:sz w:val="18"/>
                  </w:rPr>
                  <m:t>-</m:t>
                </m:r>
                <m:sSub>
                  <m:sSubPr>
                    <m:ctrlPr>
                      <w:rPr>
                        <w:rFonts w:ascii="Cambria Math" w:hAnsi="Cambria Math"/>
                        <w:i/>
                        <w:sz w:val="18"/>
                      </w:rPr>
                    </m:ctrlPr>
                  </m:sSubPr>
                  <m:e>
                    <m:r>
                      <w:rPr>
                        <w:rFonts w:ascii="Cambria Math" w:hAnsi="Cambria Math"/>
                        <w:sz w:val="18"/>
                      </w:rPr>
                      <m:t>A</m:t>
                    </m:r>
                  </m:e>
                  <m:sub>
                    <m:d>
                      <m:dPr>
                        <m:ctrlPr>
                          <w:rPr>
                            <w:rFonts w:ascii="Cambria Math" w:hAnsi="Cambria Math"/>
                            <w:i/>
                            <w:sz w:val="18"/>
                          </w:rPr>
                        </m:ctrlPr>
                      </m:dPr>
                      <m:e>
                        <m:r>
                          <w:rPr>
                            <w:rFonts w:ascii="Cambria Math" w:hAnsi="Cambria Math"/>
                            <w:sz w:val="18"/>
                          </w:rPr>
                          <m:t>s,f</m:t>
                        </m:r>
                      </m:e>
                    </m:d>
                    <m:r>
                      <w:rPr>
                        <w:rFonts w:ascii="Cambria Math" w:hAnsi="Cambria Math"/>
                        <w:sz w:val="18"/>
                      </w:rPr>
                      <m:t>,</m:t>
                    </m:r>
                    <m:sSub>
                      <m:sSubPr>
                        <m:ctrlPr>
                          <w:rPr>
                            <w:rFonts w:ascii="Cambria Math" w:hAnsi="Cambria Math"/>
                            <w:i/>
                            <w:sz w:val="18"/>
                          </w:rPr>
                        </m:ctrlPr>
                      </m:sSubPr>
                      <m:e>
                        <m:acc>
                          <m:accPr>
                            <m:ctrlPr>
                              <w:rPr>
                                <w:rFonts w:ascii="Cambria Math" w:hAnsi="Cambria Math"/>
                                <w:i/>
                                <w:sz w:val="18"/>
                              </w:rPr>
                            </m:ctrlPr>
                          </m:accPr>
                          <m:e>
                            <m:r>
                              <w:rPr>
                                <w:rFonts w:ascii="Cambria Math" w:hAnsi="Cambria Math"/>
                                <w:sz w:val="18"/>
                              </w:rPr>
                              <m:t>j</m:t>
                            </m:r>
                          </m:e>
                        </m:acc>
                      </m:e>
                      <m:sub>
                        <m:d>
                          <m:dPr>
                            <m:ctrlPr>
                              <w:rPr>
                                <w:rFonts w:ascii="Cambria Math" w:hAnsi="Cambria Math"/>
                                <w:i/>
                                <w:sz w:val="18"/>
                              </w:rPr>
                            </m:ctrlPr>
                          </m:dPr>
                          <m:e>
                            <m:d>
                              <m:dPr>
                                <m:ctrlPr>
                                  <w:rPr>
                                    <w:rFonts w:ascii="Cambria Math" w:hAnsi="Cambria Math"/>
                                    <w:i/>
                                    <w:sz w:val="18"/>
                                  </w:rPr>
                                </m:ctrlPr>
                              </m:dPr>
                              <m:e>
                                <m:r>
                                  <w:rPr>
                                    <w:rFonts w:ascii="Cambria Math" w:hAnsi="Cambria Math"/>
                                    <w:sz w:val="18"/>
                                  </w:rPr>
                                  <m:t>s,f</m:t>
                                </m:r>
                              </m:e>
                            </m:d>
                          </m:e>
                        </m:d>
                        <m:d>
                          <m:dPr>
                            <m:ctrlPr>
                              <w:rPr>
                                <w:rFonts w:ascii="Cambria Math" w:hAnsi="Cambria Math"/>
                                <w:i/>
                                <w:sz w:val="18"/>
                              </w:rPr>
                            </m:ctrlPr>
                          </m:dPr>
                          <m:e>
                            <m:r>
                              <w:rPr>
                                <w:rFonts w:ascii="Cambria Math" w:hAnsi="Cambria Math"/>
                                <w:sz w:val="18"/>
                              </w:rPr>
                              <m:t>K</m:t>
                            </m:r>
                          </m:e>
                        </m:d>
                      </m:sub>
                    </m:sSub>
                  </m:sub>
                </m:sSub>
              </m:e>
            </m:d>
          </m:e>
        </m:nary>
      </m:oMath>
      <w:r w:rsidRPr="00CC0F03">
        <w:rPr>
          <w:rFonts w:ascii="Cambria Math" w:hAnsi="Cambria Math"/>
          <w:sz w:val="18"/>
        </w:rPr>
        <w:t>,</w:t>
      </w:r>
      <w:r w:rsidRPr="00CC0F03">
        <w:rPr>
          <w:rFonts w:ascii="Cambria Math" w:hAnsi="Cambria Math"/>
          <w:sz w:val="18"/>
        </w:rPr>
        <w:tab/>
        <w:t>(10)</w:t>
      </w:r>
    </w:p>
    <w:p w14:paraId="617D3963" w14:textId="05C07084"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hint="eastAsia"/>
          <w:sz w:val="21"/>
        </w:rPr>
        <w:tab/>
      </w:r>
      <m:oMath>
        <m:sSub>
          <m:sSubPr>
            <m:ctrlPr>
              <w:rPr>
                <w:rFonts w:ascii="Cambria Math" w:hAnsi="Cambria Math"/>
                <w:i/>
                <w:sz w:val="21"/>
              </w:rPr>
            </m:ctrlPr>
          </m:sSubPr>
          <m:e>
            <m:r>
              <w:rPr>
                <w:rFonts w:ascii="Cambria Math" w:hAnsi="Cambria Math" w:hint="eastAsia"/>
                <w:sz w:val="21"/>
              </w:rPr>
              <m:t>Δ</m:t>
            </m:r>
            <m:ctrlPr>
              <w:rPr>
                <w:rFonts w:ascii="Cambria Math" w:hAnsi="Cambria Math" w:hint="eastAsia"/>
                <w:i/>
                <w:sz w:val="21"/>
              </w:rPr>
            </m:ctrlPr>
          </m:e>
          <m:sub>
            <m:r>
              <w:rPr>
                <w:rFonts w:ascii="Cambria Math" w:hAnsi="Cambria Math" w:hint="eastAsia"/>
                <w:sz w:val="21"/>
              </w:rPr>
              <m:t>CF,e</m:t>
            </m:r>
          </m:sub>
        </m:sSub>
        <m:r>
          <w:rPr>
            <w:rFonts w:ascii="Cambria Math" w:hAnsi="Cambria Math" w:hint="eastAsia"/>
            <w:sz w:val="21"/>
          </w:rPr>
          <m:t>=</m:t>
        </m:r>
        <m:d>
          <m:dPr>
            <m:ctrlPr>
              <w:rPr>
                <w:rFonts w:ascii="Cambria Math" w:hAnsi="Cambria Math"/>
                <w:i/>
                <w:sz w:val="21"/>
              </w:rPr>
            </m:ctrlPr>
          </m:dPr>
          <m:e>
            <m:f>
              <m:fPr>
                <m:ctrlPr>
                  <w:rPr>
                    <w:rFonts w:ascii="Cambria Math" w:hAnsi="Cambria Math"/>
                    <w:i/>
                    <w:sz w:val="21"/>
                  </w:rPr>
                </m:ctrlPr>
              </m:fPr>
              <m:num>
                <m:r>
                  <w:rPr>
                    <w:rFonts w:ascii="Cambria Math" w:hAnsi="Cambria Math" w:hint="eastAsia"/>
                    <w:sz w:val="21"/>
                  </w:rPr>
                  <m:t>1</m:t>
                </m:r>
              </m:num>
              <m:den>
                <m:r>
                  <w:rPr>
                    <w:rFonts w:ascii="Cambria Math" w:hAnsi="Cambria Math" w:hint="eastAsia"/>
                    <w:sz w:val="21"/>
                  </w:rPr>
                  <m:t>S</m:t>
                </m:r>
              </m:den>
            </m:f>
          </m:e>
        </m:d>
        <m:nary>
          <m:naryPr>
            <m:chr m:val="∑"/>
            <m:ctrlPr>
              <w:rPr>
                <w:rFonts w:ascii="Cambria Math" w:hAnsi="Cambria Math"/>
                <w:i/>
                <w:sz w:val="21"/>
              </w:rPr>
            </m:ctrlPr>
          </m:naryPr>
          <m:sub>
            <m:r>
              <w:rPr>
                <w:rFonts w:ascii="Cambria Math" w:hAnsi="Cambria Math" w:hint="eastAsia"/>
                <w:sz w:val="21"/>
              </w:rPr>
              <m:t>s=1</m:t>
            </m:r>
          </m:sub>
          <m:sup>
            <m:r>
              <w:rPr>
                <w:rFonts w:ascii="Cambria Math" w:hAnsi="Cambria Math" w:hint="eastAsia"/>
                <w:sz w:val="21"/>
              </w:rPr>
              <m:t>S</m:t>
            </m:r>
          </m:sup>
          <m:e>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hint="eastAsia"/>
                        <w:sz w:val="21"/>
                      </w:rPr>
                      <m:t>L</m:t>
                    </m:r>
                  </m:e>
                  <m:sub>
                    <m:d>
                      <m:dPr>
                        <m:ctrlPr>
                          <w:rPr>
                            <w:rFonts w:ascii="Cambria Math" w:hAnsi="Cambria Math"/>
                            <w:i/>
                            <w:sz w:val="21"/>
                          </w:rPr>
                        </m:ctrlPr>
                      </m:dPr>
                      <m:e>
                        <m:r>
                          <w:rPr>
                            <w:rFonts w:ascii="Cambria Math" w:hAnsi="Cambria Math" w:hint="eastAsia"/>
                            <w:sz w:val="21"/>
                          </w:rPr>
                          <m:t>CF,e,s</m:t>
                        </m:r>
                      </m:e>
                    </m:d>
                    <m:d>
                      <m:dPr>
                        <m:ctrlPr>
                          <w:rPr>
                            <w:rFonts w:ascii="Cambria Math" w:hAnsi="Cambria Math"/>
                            <w:i/>
                            <w:sz w:val="21"/>
                          </w:rPr>
                        </m:ctrlPr>
                      </m:dPr>
                      <m:e>
                        <m:r>
                          <w:rPr>
                            <w:rFonts w:ascii="Cambria Math" w:hAnsi="Cambria Math" w:hint="eastAsia"/>
                            <w:sz w:val="21"/>
                          </w:rPr>
                          <m:t>32</m:t>
                        </m:r>
                      </m:e>
                    </m:d>
                  </m:sub>
                </m:sSub>
                <m:r>
                  <w:rPr>
                    <w:rFonts w:ascii="Cambria Math" w:hAnsi="Cambria Math" w:cs="Cambria Math"/>
                    <w:sz w:val="21"/>
                  </w:rPr>
                  <m:t>-</m:t>
                </m:r>
                <m:sSub>
                  <m:sSubPr>
                    <m:ctrlPr>
                      <w:rPr>
                        <w:rFonts w:ascii="Cambria Math" w:hAnsi="Cambria Math"/>
                        <w:i/>
                        <w:sz w:val="21"/>
                      </w:rPr>
                    </m:ctrlPr>
                  </m:sSubPr>
                  <m:e>
                    <m:r>
                      <w:rPr>
                        <w:rFonts w:ascii="Cambria Math" w:hAnsi="Cambria Math" w:hint="eastAsia"/>
                        <w:sz w:val="21"/>
                      </w:rPr>
                      <m:t>L</m:t>
                    </m:r>
                    <m:ctrlPr>
                      <w:rPr>
                        <w:rFonts w:ascii="Cambria Math" w:hAnsi="Cambria Math" w:cs="Cambria Math"/>
                        <w:i/>
                        <w:sz w:val="21"/>
                      </w:rPr>
                    </m:ctrlPr>
                  </m:e>
                  <m:sub>
                    <m:d>
                      <m:dPr>
                        <m:ctrlPr>
                          <w:rPr>
                            <w:rFonts w:ascii="Cambria Math" w:hAnsi="Cambria Math"/>
                            <w:i/>
                            <w:sz w:val="21"/>
                          </w:rPr>
                        </m:ctrlPr>
                      </m:dPr>
                      <m:e>
                        <m:r>
                          <w:rPr>
                            <w:rFonts w:ascii="Cambria Math" w:hAnsi="Cambria Math" w:hint="eastAsia"/>
                            <w:sz w:val="21"/>
                          </w:rPr>
                          <m:t>CF,e,s</m:t>
                        </m:r>
                      </m:e>
                    </m:d>
                    <m:d>
                      <m:dPr>
                        <m:ctrlPr>
                          <w:rPr>
                            <w:rFonts w:ascii="Cambria Math" w:hAnsi="Cambria Math"/>
                            <w:i/>
                            <w:sz w:val="21"/>
                          </w:rPr>
                        </m:ctrlPr>
                      </m:dPr>
                      <m:e>
                        <m:r>
                          <w:rPr>
                            <w:rFonts w:ascii="Cambria Math" w:hAnsi="Cambria Math" w:hint="eastAsia"/>
                            <w:sz w:val="21"/>
                          </w:rPr>
                          <m:t>4</m:t>
                        </m:r>
                      </m:e>
                    </m:d>
                  </m:sub>
                </m:sSub>
              </m:e>
            </m:d>
          </m:e>
        </m:nary>
      </m:oMath>
      <w:r w:rsidRPr="00CC0F03">
        <w:rPr>
          <w:rFonts w:ascii="Cambria Math" w:hAnsi="Cambria Math" w:hint="eastAsia"/>
          <w:sz w:val="21"/>
        </w:rPr>
        <w:t>.</w:t>
      </w:r>
      <w:r w:rsidRPr="00CC0F03">
        <w:rPr>
          <w:rFonts w:ascii="Cambria Math" w:hAnsi="Cambria Math" w:hint="eastAsia"/>
          <w:sz w:val="21"/>
        </w:rPr>
        <w:tab/>
        <w:t>(11)</w:t>
      </w:r>
    </w:p>
    <w:p w14:paraId="1C0F83FA" w14:textId="77777777" w:rsidR="00EE56A9" w:rsidRDefault="00721CC4">
      <w:pPr>
        <w:pStyle w:val="31"/>
      </w:pPr>
      <w:r>
        <w:t>矩阵变换与有效秩</w:t>
      </w:r>
    </w:p>
    <w:p w14:paraId="1A46CEB6" w14:textId="77777777" w:rsidR="00EE56A9" w:rsidRDefault="00721CC4">
      <w:r>
        <w:t xml:space="preserve">X </w:t>
      </w:r>
      <w:r>
        <w:t>为外层效用矩阵；公式（</w:t>
      </w:r>
      <w:r>
        <w:t>16</w:t>
      </w:r>
      <w:r>
        <w:t>）中的</w:t>
      </w:r>
      <w:r>
        <w:t xml:space="preserve"> S </w:t>
      </w:r>
      <w:r>
        <w:t>为样本协方差（不是种子数），</w:t>
      </w:r>
      <w:r>
        <w:t xml:space="preserve">T </w:t>
      </w:r>
      <w:r>
        <w:t>为缩放单位阵目标；</w:t>
      </w:r>
      <w:r>
        <w:t xml:space="preserve">lambda_i </w:t>
      </w:r>
      <w:r>
        <w:t>为收缩相关矩阵的非负特征值，</w:t>
      </w:r>
      <w:r>
        <w:t xml:space="preserve">p_i </w:t>
      </w:r>
      <w:r>
        <w:t>为其和为</w:t>
      </w:r>
      <w:r>
        <w:t xml:space="preserve"> 1 </w:t>
      </w:r>
      <w:r>
        <w:t>的比例。</w:t>
      </w:r>
    </w:p>
    <w:p w14:paraId="2974DB22" w14:textId="4D36DFED"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r>
              <w:rPr>
                <w:rFonts w:ascii="Cambria Math" w:hAnsi="Cambria Math"/>
                <w:sz w:val="21"/>
              </w:rPr>
              <m:t>X</m:t>
            </m:r>
          </m:e>
          <m:sub>
            <m:r>
              <w:rPr>
                <w:rFonts w:ascii="Cambria Math" w:hAnsi="Cambria Math"/>
                <w:sz w:val="21"/>
              </w:rPr>
              <m:t>raw,u,j</m:t>
            </m:r>
          </m:sub>
        </m:sSub>
        <m:r>
          <w:rPr>
            <w:rFonts w:ascii="Cambria Math" w:hAnsi="Cambria Math"/>
            <w:sz w:val="21"/>
          </w:rPr>
          <m:t>=</m:t>
        </m:r>
        <m:sSub>
          <m:sSubPr>
            <m:ctrlPr>
              <w:rPr>
                <w:rFonts w:ascii="Cambria Math" w:hAnsi="Cambria Math"/>
                <w:i/>
                <w:sz w:val="21"/>
              </w:rPr>
            </m:ctrlPr>
          </m:sSubPr>
          <m:e>
            <m:r>
              <w:rPr>
                <w:rFonts w:ascii="Cambria Math" w:hAnsi="Cambria Math"/>
                <w:sz w:val="21"/>
              </w:rPr>
              <m:t>A</m:t>
            </m:r>
          </m:e>
          <m:sub>
            <m:r>
              <w:rPr>
                <w:rFonts w:ascii="Cambria Math" w:hAnsi="Cambria Math"/>
                <w:sz w:val="21"/>
              </w:rPr>
              <m:t>u,j</m:t>
            </m:r>
          </m:sub>
        </m:sSub>
      </m:oMath>
      <w:r w:rsidRPr="00CC0F03">
        <w:rPr>
          <w:rFonts w:ascii="Cambria Math" w:hAnsi="Cambria Math"/>
          <w:sz w:val="21"/>
        </w:rPr>
        <w:t>,</w:t>
      </w:r>
      <w:r w:rsidRPr="00CC0F03">
        <w:rPr>
          <w:rFonts w:ascii="Cambria Math" w:hAnsi="Cambria Math"/>
          <w:sz w:val="21"/>
        </w:rPr>
        <w:tab/>
        <w:t>(12)</w:t>
      </w:r>
    </w:p>
    <w:p w14:paraId="030777FA" w14:textId="479DCE26"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hint="eastAsia"/>
          <w:sz w:val="21"/>
        </w:rPr>
        <w:tab/>
      </w:r>
      <m:oMath>
        <m:sSub>
          <m:sSubPr>
            <m:ctrlPr>
              <w:rPr>
                <w:rFonts w:ascii="Cambria Math" w:hAnsi="Cambria Math"/>
                <w:i/>
                <w:sz w:val="21"/>
              </w:rPr>
            </m:ctrlPr>
          </m:sSubPr>
          <m:e>
            <m:r>
              <w:rPr>
                <w:rFonts w:ascii="Cambria Math" w:hAnsi="Cambria Math" w:hint="eastAsia"/>
                <w:sz w:val="21"/>
              </w:rPr>
              <m:t>X</m:t>
            </m:r>
            <m:ctrlPr>
              <w:rPr>
                <w:rFonts w:ascii="Cambria Math" w:hAnsi="Cambria Math" w:hint="eastAsia"/>
                <w:i/>
                <w:sz w:val="21"/>
              </w:rPr>
            </m:ctrlPr>
          </m:e>
          <m:sub>
            <m:r>
              <w:rPr>
                <w:rFonts w:ascii="Cambria Math" w:hAnsi="Cambria Math" w:hint="eastAsia"/>
                <w:sz w:val="21"/>
              </w:rPr>
              <m:t>ctr,u,j</m:t>
            </m:r>
          </m:sub>
        </m:sSub>
        <m:r>
          <w:rPr>
            <w:rFonts w:ascii="Cambria Math" w:hAnsi="Cambria Math" w:hint="eastAsia"/>
            <w:sz w:val="21"/>
          </w:rPr>
          <m:t>=</m:t>
        </m:r>
        <m:sSub>
          <m:sSubPr>
            <m:ctrlPr>
              <w:rPr>
                <w:rFonts w:ascii="Cambria Math" w:hAnsi="Cambria Math"/>
                <w:i/>
                <w:sz w:val="21"/>
              </w:rPr>
            </m:ctrlPr>
          </m:sSubPr>
          <m:e>
            <m:r>
              <w:rPr>
                <w:rFonts w:ascii="Cambria Math" w:hAnsi="Cambria Math" w:hint="eastAsia"/>
                <w:sz w:val="21"/>
              </w:rPr>
              <m:t>A</m:t>
            </m:r>
          </m:e>
          <m:sub>
            <m:r>
              <w:rPr>
                <w:rFonts w:ascii="Cambria Math" w:hAnsi="Cambria Math" w:hint="eastAsia"/>
                <w:sz w:val="21"/>
              </w:rPr>
              <m:t>u,j</m:t>
            </m:r>
          </m:sub>
        </m:sSub>
        <m:r>
          <w:rPr>
            <w:rFonts w:ascii="Cambria Math" w:hAnsi="Cambria Math" w:cs="Cambria Math"/>
            <w:sz w:val="21"/>
          </w:rPr>
          <m:t>-</m:t>
        </m:r>
        <m:d>
          <m:dPr>
            <m:ctrlPr>
              <w:rPr>
                <w:rFonts w:ascii="Cambria Math" w:hAnsi="Cambria Math"/>
                <w:i/>
                <w:sz w:val="21"/>
              </w:rPr>
            </m:ctrlPr>
          </m:dPr>
          <m:e>
            <m:f>
              <m:fPr>
                <m:ctrlPr>
                  <w:rPr>
                    <w:rFonts w:ascii="Cambria Math" w:hAnsi="Cambria Math"/>
                    <w:i/>
                    <w:sz w:val="21"/>
                  </w:rPr>
                </m:ctrlPr>
              </m:fPr>
              <m:num>
                <m:r>
                  <w:rPr>
                    <w:rFonts w:ascii="Cambria Math" w:hAnsi="Cambria Math" w:hint="eastAsia"/>
                    <w:sz w:val="21"/>
                  </w:rPr>
                  <m:t>1</m:t>
                </m:r>
              </m:num>
              <m:den>
                <m:r>
                  <w:rPr>
                    <w:rFonts w:ascii="Cambria Math" w:hAnsi="Cambria Math" w:hint="eastAsia"/>
                    <w:sz w:val="21"/>
                  </w:rPr>
                  <m:t>K</m:t>
                </m:r>
              </m:den>
            </m:f>
          </m:e>
        </m:d>
        <m:nary>
          <m:naryPr>
            <m:chr m:val="∑"/>
            <m:supHide m:val="1"/>
            <m:ctrlPr>
              <w:rPr>
                <w:rFonts w:ascii="Cambria Math" w:hAnsi="Cambria Math"/>
                <w:i/>
                <w:sz w:val="21"/>
              </w:rPr>
            </m:ctrlPr>
          </m:naryPr>
          <m:sub>
            <m:r>
              <w:rPr>
                <w:rFonts w:ascii="Cambria Math" w:hAnsi="Cambria Math" w:hint="eastAsia"/>
                <w:sz w:val="21"/>
              </w:rPr>
              <m:t>l</m:t>
            </m:r>
          </m:sub>
          <m:sup/>
          <m:e>
            <m:sSub>
              <m:sSubPr>
                <m:ctrlPr>
                  <w:rPr>
                    <w:rFonts w:ascii="Cambria Math" w:hAnsi="Cambria Math"/>
                    <w:i/>
                    <w:sz w:val="21"/>
                  </w:rPr>
                </m:ctrlPr>
              </m:sSubPr>
              <m:e>
                <m:r>
                  <w:rPr>
                    <w:rFonts w:ascii="Cambria Math" w:hAnsi="Cambria Math" w:hint="eastAsia"/>
                    <w:sz w:val="21"/>
                  </w:rPr>
                  <m:t>A</m:t>
                </m:r>
              </m:e>
              <m:sub>
                <m:r>
                  <w:rPr>
                    <w:rFonts w:ascii="Cambria Math" w:hAnsi="Cambria Math" w:hint="eastAsia"/>
                    <w:sz w:val="21"/>
                  </w:rPr>
                  <m:t>u,l</m:t>
                </m:r>
              </m:sub>
            </m:sSub>
          </m:e>
        </m:nary>
      </m:oMath>
      <w:r w:rsidRPr="00CC0F03">
        <w:rPr>
          <w:rFonts w:ascii="Cambria Math" w:hAnsi="Cambria Math" w:hint="eastAsia"/>
          <w:sz w:val="21"/>
        </w:rPr>
        <w:t>,</w:t>
      </w:r>
      <w:r w:rsidRPr="00CC0F03">
        <w:rPr>
          <w:rFonts w:ascii="Cambria Math" w:hAnsi="Cambria Math" w:hint="eastAsia"/>
          <w:sz w:val="21"/>
        </w:rPr>
        <w:tab/>
        <w:t>(13)</w:t>
      </w:r>
    </w:p>
    <w:p w14:paraId="50927661" w14:textId="37540C51"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r>
              <w:rPr>
                <w:rFonts w:ascii="Cambria Math" w:hAnsi="Cambria Math"/>
                <w:sz w:val="21"/>
              </w:rPr>
              <m:t>X</m:t>
            </m:r>
          </m:e>
          <m:sub>
            <m:r>
              <w:rPr>
                <w:rFonts w:ascii="Cambria Math" w:hAnsi="Cambria Math"/>
                <w:sz w:val="21"/>
              </w:rPr>
              <m:t>ref,u,j</m:t>
            </m:r>
          </m:sub>
        </m:sSub>
        <m:r>
          <w:rPr>
            <w:rFonts w:ascii="Cambria Math" w:hAnsi="Cambria Math"/>
            <w:sz w:val="21"/>
          </w:rPr>
          <m:t>=</m:t>
        </m:r>
        <m:sSub>
          <m:sSubPr>
            <m:ctrlPr>
              <w:rPr>
                <w:rFonts w:ascii="Cambria Math" w:hAnsi="Cambria Math"/>
                <w:i/>
                <w:sz w:val="21"/>
              </w:rPr>
            </m:ctrlPr>
          </m:sSubPr>
          <m:e>
            <m:r>
              <w:rPr>
                <w:rFonts w:ascii="Cambria Math" w:hAnsi="Cambria Math"/>
                <w:sz w:val="21"/>
              </w:rPr>
              <m:t>A</m:t>
            </m:r>
          </m:e>
          <m:sub>
            <m:r>
              <w:rPr>
                <w:rFonts w:ascii="Cambria Math" w:hAnsi="Cambria Math"/>
                <w:sz w:val="21"/>
              </w:rPr>
              <m:t>u,j</m:t>
            </m:r>
          </m:sub>
        </m:sSub>
        <m:r>
          <w:rPr>
            <w:rFonts w:ascii="Cambria Math" w:hAnsi="Cambria Math"/>
            <w:sz w:val="21"/>
          </w:rPr>
          <m:t>-</m:t>
        </m:r>
        <m:sSub>
          <m:sSubPr>
            <m:ctrlPr>
              <w:rPr>
                <w:rFonts w:ascii="Cambria Math" w:hAnsi="Cambria Math"/>
                <w:i/>
                <w:sz w:val="21"/>
              </w:rPr>
            </m:ctrlPr>
          </m:sSubPr>
          <m:e>
            <m:r>
              <w:rPr>
                <w:rFonts w:ascii="Cambria Math" w:hAnsi="Cambria Math"/>
                <w:sz w:val="21"/>
              </w:rPr>
              <m:t>A</m:t>
            </m:r>
          </m:e>
          <m:sub>
            <m:r>
              <w:rPr>
                <w:rFonts w:ascii="Cambria Math" w:hAnsi="Cambria Math"/>
                <w:sz w:val="21"/>
              </w:rPr>
              <m:t>u,</m:t>
            </m:r>
            <m:sSub>
              <m:sSubPr>
                <m:ctrlPr>
                  <w:rPr>
                    <w:rFonts w:ascii="Cambria Math" w:hAnsi="Cambria Math"/>
                    <w:i/>
                    <w:sz w:val="21"/>
                  </w:rPr>
                </m:ctrlPr>
              </m:sSubPr>
              <m:e>
                <m:r>
                  <w:rPr>
                    <w:rFonts w:ascii="Cambria Math" w:hAnsi="Cambria Math"/>
                    <w:sz w:val="21"/>
                  </w:rPr>
                  <m:t>j</m:t>
                </m:r>
              </m:e>
              <m:sub>
                <m:r>
                  <w:rPr>
                    <w:rFonts w:ascii="Cambria Math" w:hAnsi="Cambria Math"/>
                    <w:sz w:val="21"/>
                  </w:rPr>
                  <m:t>0</m:t>
                </m:r>
              </m:sub>
            </m:sSub>
          </m:sub>
        </m:sSub>
      </m:oMath>
      <w:r w:rsidRPr="00CC0F03">
        <w:rPr>
          <w:rFonts w:ascii="Cambria Math" w:hAnsi="Cambria Math"/>
          <w:sz w:val="21"/>
        </w:rPr>
        <w:t>,</w:t>
      </w:r>
      <w:r w:rsidRPr="00CC0F03">
        <w:rPr>
          <w:rFonts w:ascii="Cambria Math" w:hAnsi="Cambria Math"/>
          <w:sz w:val="21"/>
        </w:rPr>
        <w:tab/>
        <w:t>(14)</w:t>
      </w:r>
    </w:p>
    <w:p w14:paraId="1DD448CD" w14:textId="596B1996"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r>
              <w:rPr>
                <w:rFonts w:ascii="Cambria Math" w:hAnsi="Cambria Math"/>
                <w:sz w:val="21"/>
              </w:rPr>
              <m:t>X</m:t>
            </m:r>
          </m:e>
          <m:sub>
            <m:r>
              <w:rPr>
                <w:rFonts w:ascii="Cambria Math" w:hAnsi="Cambria Math"/>
                <w:sz w:val="21"/>
              </w:rPr>
              <m:t>rank,u,j</m:t>
            </m:r>
          </m:sub>
        </m:sSub>
        <m:r>
          <w:rPr>
            <w:rFonts w:ascii="Cambria Math" w:hAnsi="Cambria Math"/>
            <w:sz w:val="21"/>
          </w:rPr>
          <m:t>=ran</m:t>
        </m:r>
        <m:sSub>
          <m:sSubPr>
            <m:ctrlPr>
              <w:rPr>
                <w:rFonts w:ascii="Cambria Math" w:hAnsi="Cambria Math"/>
                <w:i/>
                <w:sz w:val="21"/>
              </w:rPr>
            </m:ctrlPr>
          </m:sSubPr>
          <m:e>
            <m:r>
              <w:rPr>
                <w:rFonts w:ascii="Cambria Math" w:hAnsi="Cambria Math"/>
                <w:sz w:val="21"/>
              </w:rPr>
              <m:t>k</m:t>
            </m:r>
          </m:e>
          <m:sub>
            <m:r>
              <w:rPr>
                <w:rFonts w:ascii="Cambria Math" w:hAnsi="Cambria Math"/>
                <w:sz w:val="21"/>
              </w:rPr>
              <m:t>j</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A</m:t>
                    </m:r>
                  </m:e>
                  <m:sub>
                    <m:r>
                      <w:rPr>
                        <w:rFonts w:ascii="Cambria Math" w:hAnsi="Cambria Math"/>
                        <w:sz w:val="21"/>
                      </w:rPr>
                      <m:t>u,j</m:t>
                    </m:r>
                  </m:sub>
                </m:sSub>
              </m:e>
            </m:d>
          </m:sub>
        </m:sSub>
      </m:oMath>
      <w:r w:rsidRPr="00CC0F03">
        <w:rPr>
          <w:rFonts w:ascii="Cambria Math" w:hAnsi="Cambria Math"/>
          <w:sz w:val="21"/>
        </w:rPr>
        <w:t>,</w:t>
      </w:r>
      <w:r w:rsidRPr="00CC0F03">
        <w:rPr>
          <w:rFonts w:ascii="Cambria Math" w:hAnsi="Cambria Math"/>
          <w:sz w:val="21"/>
        </w:rPr>
        <w:tab/>
        <w:t>(15)</w:t>
      </w:r>
    </w:p>
    <w:p w14:paraId="73F9979E" w14:textId="28D87921"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acc>
              <m:accPr>
                <m:ctrlPr>
                  <w:rPr>
                    <w:rFonts w:ascii="Cambria Math" w:hAnsi="Cambria Math"/>
                    <w:i/>
                    <w:sz w:val="21"/>
                  </w:rPr>
                </m:ctrlPr>
              </m:accPr>
              <m:e>
                <m:r>
                  <w:rPr>
                    <w:rFonts w:ascii="Cambria Math" w:hAnsi="Cambria Math"/>
                    <w:sz w:val="21"/>
                  </w:rPr>
                  <m:t>Σ</m:t>
                </m:r>
              </m:e>
            </m:acc>
          </m:e>
          <m:sub>
            <m:r>
              <w:rPr>
                <w:rFonts w:ascii="Cambria Math" w:hAnsi="Cambria Math"/>
                <w:sz w:val="21"/>
              </w:rPr>
              <m:t>LW</m:t>
            </m:r>
          </m:sub>
        </m:sSub>
        <m:r>
          <w:rPr>
            <w:rFonts w:ascii="Cambria Math" w:hAnsi="Cambria Math"/>
            <w:sz w:val="21"/>
          </w:rPr>
          <m:t>=</m:t>
        </m:r>
        <m:d>
          <m:dPr>
            <m:ctrlPr>
              <w:rPr>
                <w:rFonts w:ascii="Cambria Math" w:hAnsi="Cambria Math"/>
                <w:i/>
                <w:sz w:val="21"/>
              </w:rPr>
            </m:ctrlPr>
          </m:dPr>
          <m:e>
            <m:r>
              <w:rPr>
                <w:rFonts w:ascii="Cambria Math" w:hAnsi="Cambria Math"/>
                <w:sz w:val="21"/>
              </w:rPr>
              <m:t>1-α</m:t>
            </m:r>
          </m:e>
        </m:d>
        <m:r>
          <w:rPr>
            <w:rFonts w:ascii="Cambria Math" w:hAnsi="Cambria Math"/>
            <w:sz w:val="21"/>
          </w:rPr>
          <m:t>S+αT</m:t>
        </m:r>
      </m:oMath>
      <w:r w:rsidRPr="00CC0F03">
        <w:rPr>
          <w:rFonts w:ascii="Cambria Math" w:hAnsi="Cambria Math"/>
          <w:sz w:val="21"/>
        </w:rPr>
        <w:t>,</w:t>
      </w:r>
      <w:r w:rsidRPr="00CC0F03">
        <w:rPr>
          <w:rFonts w:ascii="Cambria Math" w:hAnsi="Cambria Math"/>
          <w:sz w:val="21"/>
        </w:rPr>
        <w:tab/>
        <w:t>(16)</w:t>
      </w:r>
    </w:p>
    <w:p w14:paraId="493A7C9D" w14:textId="23258033"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hint="eastAsia"/>
          <w:sz w:val="21"/>
        </w:rPr>
        <w:tab/>
      </w:r>
      <m:oMath>
        <m:sSub>
          <m:sSubPr>
            <m:ctrlPr>
              <w:rPr>
                <w:rFonts w:ascii="Cambria Math" w:hAnsi="Cambria Math"/>
                <w:i/>
                <w:sz w:val="21"/>
              </w:rPr>
            </m:ctrlPr>
          </m:sSubPr>
          <m:e>
            <m:r>
              <w:rPr>
                <w:rFonts w:ascii="Cambria Math" w:hAnsi="Cambria Math" w:hint="eastAsia"/>
                <w:sz w:val="21"/>
              </w:rPr>
              <m:t>p</m:t>
            </m:r>
            <m:ctrlPr>
              <w:rPr>
                <w:rFonts w:ascii="Cambria Math" w:hAnsi="Cambria Math" w:hint="eastAsia"/>
                <w:i/>
                <w:sz w:val="21"/>
              </w:rPr>
            </m:ctrlPr>
          </m:e>
          <m:sub>
            <m:r>
              <w:rPr>
                <w:rFonts w:ascii="Cambria Math" w:hAnsi="Cambria Math" w:hint="eastAsia"/>
                <w:sz w:val="21"/>
              </w:rPr>
              <m:t>i</m:t>
            </m:r>
          </m:sub>
        </m:sSub>
        <m:r>
          <w:rPr>
            <w:rFonts w:ascii="Cambria Math" w:hAnsi="Cambria Math" w:hint="eastAsia"/>
            <w:sz w:val="21"/>
          </w:rPr>
          <m:t>=</m:t>
        </m:r>
        <m:f>
          <m:fPr>
            <m:ctrlPr>
              <w:rPr>
                <w:rFonts w:ascii="Cambria Math" w:hAnsi="Cambria Math"/>
                <w:i/>
                <w:sz w:val="21"/>
              </w:rPr>
            </m:ctrlPr>
          </m:fPr>
          <m:num>
            <m:sSub>
              <m:sSubPr>
                <m:ctrlPr>
                  <w:rPr>
                    <w:rFonts w:ascii="Cambria Math" w:hAnsi="Cambria Math"/>
                    <w:i/>
                    <w:sz w:val="21"/>
                  </w:rPr>
                </m:ctrlPr>
              </m:sSubPr>
              <m:e>
                <m:r>
                  <w:rPr>
                    <w:rFonts w:ascii="Cambria Math" w:hAnsi="Cambria Math" w:hint="eastAsia"/>
                    <w:sz w:val="21"/>
                  </w:rPr>
                  <m:t>λ</m:t>
                </m:r>
              </m:e>
              <m:sub>
                <m:r>
                  <w:rPr>
                    <w:rFonts w:ascii="Cambria Math" w:hAnsi="Cambria Math" w:hint="eastAsia"/>
                    <w:sz w:val="21"/>
                  </w:rPr>
                  <m:t>i</m:t>
                </m:r>
              </m:sub>
            </m:sSub>
          </m:num>
          <m:den>
            <m:nary>
              <m:naryPr>
                <m:chr m:val="∑"/>
                <m:supHide m:val="1"/>
                <m:ctrlPr>
                  <w:rPr>
                    <w:rFonts w:ascii="Cambria Math" w:hAnsi="Cambria Math"/>
                    <w:i/>
                    <w:sz w:val="21"/>
                  </w:rPr>
                </m:ctrlPr>
              </m:naryPr>
              <m:sub>
                <m:r>
                  <w:rPr>
                    <w:rFonts w:ascii="Cambria Math" w:hAnsi="Cambria Math" w:hint="eastAsia"/>
                    <w:sz w:val="21"/>
                  </w:rPr>
                  <m:t>l</m:t>
                </m:r>
              </m:sub>
              <m:sup/>
              <m:e>
                <m:sSub>
                  <m:sSubPr>
                    <m:ctrlPr>
                      <w:rPr>
                        <w:rFonts w:ascii="Cambria Math" w:hAnsi="Cambria Math"/>
                        <w:i/>
                        <w:sz w:val="21"/>
                      </w:rPr>
                    </m:ctrlPr>
                  </m:sSubPr>
                  <m:e>
                    <m:r>
                      <w:rPr>
                        <w:rFonts w:ascii="Cambria Math" w:hAnsi="Cambria Math" w:hint="eastAsia"/>
                        <w:sz w:val="21"/>
                      </w:rPr>
                      <m:t>λ</m:t>
                    </m:r>
                  </m:e>
                  <m:sub>
                    <m:r>
                      <w:rPr>
                        <w:rFonts w:ascii="Cambria Math" w:hAnsi="Cambria Math" w:hint="eastAsia"/>
                        <w:sz w:val="21"/>
                      </w:rPr>
                      <m:t>l</m:t>
                    </m:r>
                  </m:sub>
                </m:sSub>
              </m:e>
            </m:nary>
          </m:den>
        </m:f>
      </m:oMath>
      <w:r w:rsidRPr="00CC0F03">
        <w:rPr>
          <w:rFonts w:ascii="Cambria Math" w:hAnsi="Cambria Math" w:hint="eastAsia"/>
          <w:sz w:val="21"/>
        </w:rPr>
        <w:t>,</w:t>
      </w:r>
      <w:r w:rsidRPr="00CC0F03">
        <w:rPr>
          <w:rFonts w:ascii="Cambria Math" w:hAnsi="Cambria Math" w:hint="eastAsia"/>
          <w:sz w:val="21"/>
        </w:rPr>
        <w:tab/>
        <w:t>(17)</w:t>
      </w:r>
    </w:p>
    <w:p w14:paraId="63CB6262" w14:textId="0DBA6852"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hint="eastAsia"/>
          <w:sz w:val="21"/>
        </w:rPr>
        <w:tab/>
      </w:r>
      <m:oMath>
        <m:sSub>
          <m:sSubPr>
            <m:ctrlPr>
              <w:rPr>
                <w:rFonts w:ascii="Cambria Math" w:hAnsi="Cambria Math"/>
                <w:i/>
                <w:sz w:val="21"/>
              </w:rPr>
            </m:ctrlPr>
          </m:sSubPr>
          <m:e>
            <m:r>
              <w:rPr>
                <w:rFonts w:ascii="Cambria Math" w:hAnsi="Cambria Math" w:hint="eastAsia"/>
                <w:sz w:val="21"/>
              </w:rPr>
              <m:t>r</m:t>
            </m:r>
            <m:ctrlPr>
              <w:rPr>
                <w:rFonts w:ascii="Cambria Math" w:hAnsi="Cambria Math" w:hint="eastAsia"/>
                <w:i/>
                <w:sz w:val="21"/>
              </w:rPr>
            </m:ctrlPr>
          </m:e>
          <m:sub>
            <m:r>
              <w:rPr>
                <w:rFonts w:ascii="Cambria Math" w:hAnsi="Cambria Math" w:hint="eastAsia"/>
                <w:sz w:val="21"/>
              </w:rPr>
              <m:t>ent</m:t>
            </m:r>
          </m:sub>
        </m:sSub>
        <m:r>
          <w:rPr>
            <w:rFonts w:ascii="Cambria Math" w:hAnsi="Cambria Math" w:hint="eastAsia"/>
            <w:sz w:val="21"/>
          </w:rPr>
          <m:t>=</m:t>
        </m:r>
        <m:func>
          <m:funcPr>
            <m:ctrlPr>
              <w:rPr>
                <w:rFonts w:ascii="Cambria Math" w:hAnsi="Cambria Math"/>
                <w:sz w:val="21"/>
              </w:rPr>
            </m:ctrlPr>
          </m:funcPr>
          <m:fName>
            <m:r>
              <m:rPr>
                <m:sty m:val="p"/>
              </m:rPr>
              <w:rPr>
                <w:rFonts w:ascii="Cambria Math" w:hAnsi="Cambria Math"/>
                <w:sz w:val="21"/>
              </w:rPr>
              <m:t>exp</m:t>
            </m:r>
            <m:ctrlPr>
              <w:rPr>
                <w:rFonts w:ascii="Cambria Math" w:hAnsi="Cambria Math"/>
                <w:i/>
                <w:sz w:val="21"/>
              </w:rPr>
            </m:ctrlPr>
          </m:fName>
          <m:e>
            <m:d>
              <m:dPr>
                <m:begChr m:val="["/>
                <m:endChr m:val="]"/>
                <m:ctrlPr>
                  <w:rPr>
                    <w:rFonts w:ascii="Cambria Math" w:hAnsi="Cambria Math"/>
                    <w:i/>
                    <w:sz w:val="21"/>
                  </w:rPr>
                </m:ctrlPr>
              </m:dPr>
              <m:e>
                <m:r>
                  <w:rPr>
                    <w:rFonts w:ascii="Cambria Math" w:hAnsi="Cambria Math" w:cs="Cambria Math"/>
                    <w:sz w:val="21"/>
                  </w:rPr>
                  <m:t>-</m:t>
                </m:r>
                <m:nary>
                  <m:naryPr>
                    <m:chr m:val="∑"/>
                    <m:supHide m:val="1"/>
                    <m:ctrlPr>
                      <w:rPr>
                        <w:rFonts w:ascii="Cambria Math" w:hAnsi="Cambria Math"/>
                        <w:i/>
                        <w:sz w:val="21"/>
                      </w:rPr>
                    </m:ctrlPr>
                  </m:naryPr>
                  <m:sub>
                    <m:r>
                      <w:rPr>
                        <w:rFonts w:ascii="Cambria Math" w:hAnsi="Cambria Math" w:hint="eastAsia"/>
                        <w:sz w:val="21"/>
                      </w:rPr>
                      <m:t>i</m:t>
                    </m:r>
                  </m:sub>
                  <m:sup/>
                  <m:e>
                    <m:sSub>
                      <m:sSubPr>
                        <m:ctrlPr>
                          <w:rPr>
                            <w:rFonts w:ascii="Cambria Math" w:hAnsi="Cambria Math"/>
                            <w:i/>
                            <w:sz w:val="21"/>
                          </w:rPr>
                        </m:ctrlPr>
                      </m:sSubPr>
                      <m:e>
                        <m:r>
                          <w:rPr>
                            <w:rFonts w:ascii="Cambria Math" w:hAnsi="Cambria Math" w:hint="eastAsia"/>
                            <w:sz w:val="21"/>
                          </w:rPr>
                          <m:t>p</m:t>
                        </m:r>
                      </m:e>
                      <m:sub>
                        <m:r>
                          <w:rPr>
                            <w:rFonts w:ascii="Cambria Math" w:hAnsi="Cambria Math" w:hint="eastAsia"/>
                            <w:sz w:val="21"/>
                          </w:rPr>
                          <m:t>i</m:t>
                        </m:r>
                      </m:sub>
                    </m:sSub>
                    <m:func>
                      <m:funcPr>
                        <m:ctrlPr>
                          <w:rPr>
                            <w:rFonts w:ascii="Cambria Math" w:hAnsi="Cambria Math"/>
                            <w:sz w:val="21"/>
                          </w:rPr>
                        </m:ctrlPr>
                      </m:funcPr>
                      <m:fName>
                        <m:r>
                          <m:rPr>
                            <m:sty m:val="p"/>
                          </m:rPr>
                          <w:rPr>
                            <w:rFonts w:ascii="Cambria Math" w:hAnsi="Cambria Math"/>
                            <w:sz w:val="21"/>
                          </w:rPr>
                          <m:t>ln</m:t>
                        </m:r>
                      </m:fName>
                      <m:e>
                        <m:d>
                          <m:dPr>
                            <m:ctrlPr>
                              <w:rPr>
                                <w:rFonts w:ascii="Cambria Math" w:hAnsi="Cambria Math"/>
                                <w:i/>
                                <w:sz w:val="21"/>
                              </w:rPr>
                            </m:ctrlPr>
                          </m:dPr>
                          <m:e>
                            <m:sSub>
                              <m:sSubPr>
                                <m:ctrlPr>
                                  <w:rPr>
                                    <w:rFonts w:ascii="Cambria Math" w:hAnsi="Cambria Math"/>
                                    <w:i/>
                                    <w:sz w:val="21"/>
                                  </w:rPr>
                                </m:ctrlPr>
                              </m:sSubPr>
                              <m:e>
                                <m:r>
                                  <w:rPr>
                                    <w:rFonts w:ascii="Cambria Math" w:hAnsi="Cambria Math" w:hint="eastAsia"/>
                                    <w:sz w:val="21"/>
                                  </w:rPr>
                                  <m:t>p</m:t>
                                </m:r>
                              </m:e>
                              <m:sub>
                                <m:r>
                                  <w:rPr>
                                    <w:rFonts w:ascii="Cambria Math" w:hAnsi="Cambria Math" w:hint="eastAsia"/>
                                    <w:sz w:val="21"/>
                                  </w:rPr>
                                  <m:t>i</m:t>
                                </m:r>
                              </m:sub>
                            </m:sSub>
                          </m:e>
                        </m:d>
                      </m:e>
                    </m:func>
                  </m:e>
                </m:nary>
              </m:e>
            </m:d>
          </m:e>
        </m:func>
      </m:oMath>
      <w:r w:rsidRPr="00CC0F03">
        <w:rPr>
          <w:rFonts w:ascii="Cambria Math" w:hAnsi="Cambria Math" w:hint="eastAsia"/>
          <w:sz w:val="21"/>
        </w:rPr>
        <w:t>,</w:t>
      </w:r>
      <w:r w:rsidRPr="00CC0F03">
        <w:rPr>
          <w:rFonts w:ascii="Cambria Math" w:hAnsi="Cambria Math" w:hint="eastAsia"/>
          <w:sz w:val="21"/>
        </w:rPr>
        <w:tab/>
        <w:t>(18)</w:t>
      </w:r>
    </w:p>
    <w:p w14:paraId="0C8A3128" w14:textId="22C54DCB" w:rsidR="00EE56A9" w:rsidRPr="00CC0F03" w:rsidRDefault="00CC0F03" w:rsidP="00CC0F03">
      <w:pPr>
        <w:keepLines/>
        <w:tabs>
          <w:tab w:val="center" w:pos="4680"/>
          <w:tab w:val="right" w:pos="9360"/>
        </w:tabs>
        <w:spacing w:before="60" w:after="60"/>
        <w:rPr>
          <w:rFonts w:ascii="Cambria Math" w:hAnsi="Cambria Math"/>
          <w:sz w:val="18"/>
        </w:rPr>
      </w:pPr>
      <w:r w:rsidRPr="00CC0F03">
        <w:rPr>
          <w:rFonts w:ascii="Cambria Math" w:hAnsi="Cambria Math" w:hint="eastAsia"/>
          <w:sz w:val="18"/>
        </w:rPr>
        <w:tab/>
      </w:r>
      <m:oMath>
        <m:sSub>
          <m:sSubPr>
            <m:ctrlPr>
              <w:rPr>
                <w:rFonts w:ascii="Cambria Math" w:hAnsi="Cambria Math"/>
                <w:i/>
                <w:sz w:val="18"/>
              </w:rPr>
            </m:ctrlPr>
          </m:sSubPr>
          <m:e>
            <m:r>
              <w:rPr>
                <w:rFonts w:ascii="Cambria Math" w:hAnsi="Cambria Math" w:hint="eastAsia"/>
                <w:sz w:val="18"/>
              </w:rPr>
              <m:t>r</m:t>
            </m:r>
            <m:ctrlPr>
              <w:rPr>
                <w:rFonts w:ascii="Cambria Math" w:hAnsi="Cambria Math" w:hint="eastAsia"/>
                <w:i/>
                <w:sz w:val="18"/>
              </w:rPr>
            </m:ctrlPr>
          </m:e>
          <m:sub>
            <m:r>
              <w:rPr>
                <w:rFonts w:ascii="Cambria Math" w:hAnsi="Cambria Math" w:hint="eastAsia"/>
                <w:sz w:val="18"/>
              </w:rPr>
              <m:t>PR</m:t>
            </m:r>
          </m:sub>
        </m:sSub>
        <m:r>
          <w:rPr>
            <w:rFonts w:ascii="Cambria Math" w:hAnsi="Cambria Math" w:hint="eastAsia"/>
            <w:sz w:val="18"/>
          </w:rPr>
          <m:t>=</m:t>
        </m:r>
        <m:f>
          <m:fPr>
            <m:ctrlPr>
              <w:rPr>
                <w:rFonts w:ascii="Cambria Math" w:hAnsi="Cambria Math"/>
                <w:i/>
                <w:sz w:val="18"/>
              </w:rPr>
            </m:ctrlPr>
          </m:fPr>
          <m:num>
            <m:sSup>
              <m:sSupPr>
                <m:ctrlPr>
                  <w:rPr>
                    <w:rFonts w:ascii="Cambria Math" w:hAnsi="Cambria Math"/>
                    <w:i/>
                    <w:sz w:val="18"/>
                  </w:rPr>
                </m:ctrlPr>
              </m:sSupPr>
              <m:e>
                <m:d>
                  <m:dPr>
                    <m:ctrlPr>
                      <w:rPr>
                        <w:rFonts w:ascii="Cambria Math" w:hAnsi="Cambria Math"/>
                        <w:i/>
                        <w:sz w:val="18"/>
                      </w:rPr>
                    </m:ctrlPr>
                  </m:dPr>
                  <m:e>
                    <m:nary>
                      <m:naryPr>
                        <m:chr m:val="∑"/>
                        <m:supHide m:val="1"/>
                        <m:ctrlPr>
                          <w:rPr>
                            <w:rFonts w:ascii="Cambria Math" w:hAnsi="Cambria Math"/>
                            <w:i/>
                            <w:sz w:val="18"/>
                          </w:rPr>
                        </m:ctrlPr>
                      </m:naryPr>
                      <m:sub>
                        <m:r>
                          <w:rPr>
                            <w:rFonts w:ascii="Cambria Math" w:hAnsi="Cambria Math" w:hint="eastAsia"/>
                            <w:sz w:val="18"/>
                          </w:rPr>
                          <m:t>i</m:t>
                        </m:r>
                      </m:sub>
                      <m:sup/>
                      <m:e>
                        <m:sSub>
                          <m:sSubPr>
                            <m:ctrlPr>
                              <w:rPr>
                                <w:rFonts w:ascii="Cambria Math" w:hAnsi="Cambria Math"/>
                                <w:i/>
                                <w:sz w:val="18"/>
                              </w:rPr>
                            </m:ctrlPr>
                          </m:sSubPr>
                          <m:e>
                            <m:r>
                              <w:rPr>
                                <w:rFonts w:ascii="Cambria Math" w:hAnsi="Cambria Math" w:hint="eastAsia"/>
                                <w:sz w:val="18"/>
                              </w:rPr>
                              <m:t>λ</m:t>
                            </m:r>
                          </m:e>
                          <m:sub>
                            <m:r>
                              <w:rPr>
                                <w:rFonts w:ascii="Cambria Math" w:hAnsi="Cambria Math" w:hint="eastAsia"/>
                                <w:sz w:val="18"/>
                              </w:rPr>
                              <m:t>i</m:t>
                            </m:r>
                          </m:sub>
                        </m:sSub>
                      </m:e>
                    </m:nary>
                  </m:e>
                </m:d>
              </m:e>
              <m:sup>
                <m:r>
                  <w:rPr>
                    <w:rFonts w:ascii="Cambria Math" w:hAnsi="Cambria Math" w:hint="eastAsia"/>
                    <w:sz w:val="18"/>
                  </w:rPr>
                  <m:t>2</m:t>
                </m:r>
              </m:sup>
            </m:sSup>
          </m:num>
          <m:den>
            <m:nary>
              <m:naryPr>
                <m:chr m:val="∑"/>
                <m:supHide m:val="1"/>
                <m:ctrlPr>
                  <w:rPr>
                    <w:rFonts w:ascii="Cambria Math" w:hAnsi="Cambria Math"/>
                    <w:i/>
                    <w:sz w:val="18"/>
                  </w:rPr>
                </m:ctrlPr>
              </m:naryPr>
              <m:sub>
                <m:r>
                  <w:rPr>
                    <w:rFonts w:ascii="Cambria Math" w:hAnsi="Cambria Math" w:hint="eastAsia"/>
                    <w:sz w:val="18"/>
                  </w:rPr>
                  <m:t>i</m:t>
                </m:r>
              </m:sub>
              <m:sup/>
              <m:e>
                <m:sSubSup>
                  <m:sSubSupPr>
                    <m:ctrlPr>
                      <w:rPr>
                        <w:rFonts w:ascii="Cambria Math" w:hAnsi="Cambria Math"/>
                        <w:i/>
                        <w:sz w:val="18"/>
                      </w:rPr>
                    </m:ctrlPr>
                  </m:sSubSupPr>
                  <m:e>
                    <m:r>
                      <w:rPr>
                        <w:rFonts w:ascii="Cambria Math" w:hAnsi="Cambria Math" w:hint="eastAsia"/>
                        <w:sz w:val="18"/>
                      </w:rPr>
                      <m:t>λ</m:t>
                    </m:r>
                  </m:e>
                  <m:sub>
                    <m:r>
                      <w:rPr>
                        <w:rFonts w:ascii="Cambria Math" w:hAnsi="Cambria Math" w:hint="eastAsia"/>
                        <w:sz w:val="18"/>
                      </w:rPr>
                      <m:t>i</m:t>
                    </m:r>
                  </m:sub>
                  <m:sup>
                    <m:r>
                      <w:rPr>
                        <w:rFonts w:ascii="Cambria Math" w:hAnsi="Cambria Math" w:hint="eastAsia"/>
                        <w:sz w:val="18"/>
                      </w:rPr>
                      <m:t>2</m:t>
                    </m:r>
                  </m:sup>
                </m:sSubSup>
              </m:e>
            </m:nary>
          </m:den>
        </m:f>
        <m:r>
          <w:rPr>
            <w:rFonts w:ascii="Cambria Math" w:hAnsi="Cambria Math" w:hint="eastAsia"/>
            <w:sz w:val="18"/>
          </w:rPr>
          <m:t>=</m:t>
        </m:r>
        <m:f>
          <m:fPr>
            <m:ctrlPr>
              <w:rPr>
                <w:rFonts w:ascii="Cambria Math" w:hAnsi="Cambria Math"/>
                <w:i/>
                <w:sz w:val="18"/>
              </w:rPr>
            </m:ctrlPr>
          </m:fPr>
          <m:num>
            <m:r>
              <w:rPr>
                <w:rFonts w:ascii="Cambria Math" w:hAnsi="Cambria Math" w:hint="eastAsia"/>
                <w:sz w:val="18"/>
              </w:rPr>
              <m:t>1</m:t>
            </m:r>
          </m:num>
          <m:den>
            <m:nary>
              <m:naryPr>
                <m:chr m:val="∑"/>
                <m:supHide m:val="1"/>
                <m:ctrlPr>
                  <w:rPr>
                    <w:rFonts w:ascii="Cambria Math" w:hAnsi="Cambria Math"/>
                    <w:i/>
                    <w:sz w:val="18"/>
                  </w:rPr>
                </m:ctrlPr>
              </m:naryPr>
              <m:sub>
                <m:r>
                  <w:rPr>
                    <w:rFonts w:ascii="Cambria Math" w:hAnsi="Cambria Math" w:hint="eastAsia"/>
                    <w:sz w:val="18"/>
                  </w:rPr>
                  <m:t>i</m:t>
                </m:r>
              </m:sub>
              <m:sup/>
              <m:e>
                <m:sSubSup>
                  <m:sSubSupPr>
                    <m:ctrlPr>
                      <w:rPr>
                        <w:rFonts w:ascii="Cambria Math" w:hAnsi="Cambria Math"/>
                        <w:i/>
                        <w:sz w:val="18"/>
                      </w:rPr>
                    </m:ctrlPr>
                  </m:sSubSupPr>
                  <m:e>
                    <m:r>
                      <w:rPr>
                        <w:rFonts w:ascii="Cambria Math" w:hAnsi="Cambria Math" w:hint="eastAsia"/>
                        <w:sz w:val="18"/>
                      </w:rPr>
                      <m:t>p</m:t>
                    </m:r>
                  </m:e>
                  <m:sub>
                    <m:r>
                      <w:rPr>
                        <w:rFonts w:ascii="Cambria Math" w:hAnsi="Cambria Math" w:hint="eastAsia"/>
                        <w:sz w:val="18"/>
                      </w:rPr>
                      <m:t>i</m:t>
                    </m:r>
                  </m:sub>
                  <m:sup>
                    <m:r>
                      <w:rPr>
                        <w:rFonts w:ascii="Cambria Math" w:hAnsi="Cambria Math" w:hint="eastAsia"/>
                        <w:sz w:val="18"/>
                      </w:rPr>
                      <m:t>2</m:t>
                    </m:r>
                  </m:sup>
                </m:sSubSup>
              </m:e>
            </m:nary>
          </m:den>
        </m:f>
      </m:oMath>
      <w:r w:rsidRPr="00CC0F03">
        <w:rPr>
          <w:rFonts w:ascii="Cambria Math" w:hAnsi="Cambria Math" w:hint="eastAsia"/>
          <w:sz w:val="18"/>
        </w:rPr>
        <w:t>.</w:t>
      </w:r>
      <w:r w:rsidRPr="00CC0F03">
        <w:rPr>
          <w:rFonts w:ascii="Cambria Math" w:hAnsi="Cambria Math" w:hint="eastAsia"/>
          <w:sz w:val="18"/>
        </w:rPr>
        <w:tab/>
        <w:t>(19)</w:t>
      </w:r>
    </w:p>
    <w:p w14:paraId="2C8C800F" w14:textId="77777777" w:rsidR="00EE56A9" w:rsidRDefault="00721CC4">
      <w:pPr>
        <w:pStyle w:val="31"/>
      </w:pPr>
      <w:r>
        <w:t>候选池组成、归一化与下游成本</w:t>
      </w:r>
    </w:p>
    <w:p w14:paraId="25197F97" w14:textId="77777777" w:rsidR="00EE56A9" w:rsidRDefault="00721CC4">
      <w:r>
        <w:t xml:space="preserve">hom </w:t>
      </w:r>
      <w:r>
        <w:t>表示同质</w:t>
      </w:r>
      <w:r>
        <w:t xml:space="preserve"> Morgan </w:t>
      </w:r>
      <w:r>
        <w:t>候选池，</w:t>
      </w:r>
      <w:r>
        <w:t xml:space="preserve">T_down </w:t>
      </w:r>
      <w:r>
        <w:t>为内外层下游拟合与预测的实测墙钟时间。</w:t>
      </w:r>
    </w:p>
    <w:p w14:paraId="5E4089E9" w14:textId="34A759FE"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hint="eastAsia"/>
          <w:sz w:val="21"/>
        </w:rPr>
        <w:tab/>
      </w:r>
      <m:oMath>
        <m:sSub>
          <m:sSubPr>
            <m:ctrlPr>
              <w:rPr>
                <w:rFonts w:ascii="Cambria Math" w:hAnsi="Cambria Math"/>
                <w:i/>
                <w:sz w:val="21"/>
              </w:rPr>
            </m:ctrlPr>
          </m:sSubPr>
          <m:e>
            <m:r>
              <w:rPr>
                <w:rFonts w:ascii="Cambria Math" w:hAnsi="Cambria Math" w:hint="eastAsia"/>
                <w:sz w:val="21"/>
              </w:rPr>
              <m:t>G</m:t>
            </m:r>
            <m:ctrlPr>
              <w:rPr>
                <w:rFonts w:ascii="Cambria Math" w:hAnsi="Cambria Math" w:hint="eastAsia"/>
                <w:i/>
                <w:sz w:val="21"/>
              </w:rPr>
            </m:ctrlPr>
          </m:e>
          <m:sub>
            <m:r>
              <w:rPr>
                <w:rFonts w:ascii="Cambria Math" w:hAnsi="Cambria Math" w:hint="eastAsia"/>
                <w:sz w:val="21"/>
              </w:rPr>
              <m:t>best,u,p,K</m:t>
            </m:r>
          </m:sub>
        </m:sSub>
        <m:r>
          <w:rPr>
            <w:rFonts w:ascii="Cambria Math" w:hAnsi="Cambria Math" w:hint="eastAsia"/>
            <w:sz w:val="21"/>
          </w:rPr>
          <m:t>=</m:t>
        </m:r>
        <m:func>
          <m:funcPr>
            <m:ctrlPr>
              <w:rPr>
                <w:rFonts w:ascii="Cambria Math" w:hAnsi="Cambria Math"/>
                <w:sz w:val="21"/>
              </w:rPr>
            </m:ctrlPr>
          </m:funcPr>
          <m:fName>
            <m:limLow>
              <m:limLowPr>
                <m:ctrlPr>
                  <w:rPr>
                    <w:rFonts w:ascii="Cambria Math" w:hAnsi="Cambria Math"/>
                    <w:i/>
                    <w:sz w:val="21"/>
                  </w:rPr>
                </m:ctrlPr>
              </m:limLowPr>
              <m:e>
                <m:r>
                  <m:rPr>
                    <m:sty m:val="p"/>
                  </m:rPr>
                  <w:rPr>
                    <w:rFonts w:ascii="Cambria Math" w:hAnsi="Cambria Math"/>
                    <w:sz w:val="21"/>
                  </w:rPr>
                  <m:t>max</m:t>
                </m:r>
              </m:e>
              <m:lim>
                <m:r>
                  <w:rPr>
                    <w:rFonts w:ascii="Cambria Math" w:hAnsi="Cambria Math" w:hint="eastAsia"/>
                    <w:sz w:val="21"/>
                  </w:rPr>
                  <m:t>j</m:t>
                </m:r>
                <m:r>
                  <w:rPr>
                    <w:rFonts w:ascii="Cambria Math" w:hAnsi="Cambria Math" w:hint="eastAsia"/>
                    <w:sz w:val="21"/>
                  </w:rPr>
                  <m:t>∈</m:t>
                </m:r>
                <m:sSub>
                  <m:sSubPr>
                    <m:ctrlPr>
                      <w:rPr>
                        <w:rFonts w:ascii="Cambria Math" w:hAnsi="Cambria Math"/>
                        <w:i/>
                        <w:sz w:val="21"/>
                      </w:rPr>
                    </m:ctrlPr>
                  </m:sSubPr>
                  <m:e>
                    <m:r>
                      <w:rPr>
                        <w:rFonts w:ascii="Cambria Math" w:hAnsi="Cambria Math" w:hint="eastAsia"/>
                        <w:sz w:val="21"/>
                      </w:rPr>
                      <m:t>C</m:t>
                    </m:r>
                  </m:e>
                  <m:sub>
                    <m:r>
                      <w:rPr>
                        <w:rFonts w:ascii="Cambria Math" w:hAnsi="Cambria Math" w:hint="eastAsia"/>
                        <w:sz w:val="21"/>
                      </w:rPr>
                      <m:t>p,K</m:t>
                    </m:r>
                  </m:sub>
                </m:sSub>
                <m:ctrlPr>
                  <w:rPr>
                    <w:rFonts w:ascii="Cambria Math" w:hAnsi="Cambria Math"/>
                    <w:sz w:val="21"/>
                  </w:rPr>
                </m:ctrlPr>
              </m:lim>
            </m:limLow>
            <m:ctrlPr>
              <w:rPr>
                <w:rFonts w:ascii="Cambria Math" w:hAnsi="Cambria Math"/>
                <w:i/>
                <w:sz w:val="21"/>
              </w:rPr>
            </m:ctrlPr>
          </m:fName>
          <m:e>
            <m:sSub>
              <m:sSubPr>
                <m:ctrlPr>
                  <w:rPr>
                    <w:rFonts w:ascii="Cambria Math" w:hAnsi="Cambria Math"/>
                    <w:i/>
                    <w:sz w:val="21"/>
                  </w:rPr>
                </m:ctrlPr>
              </m:sSubPr>
              <m:e>
                <m:r>
                  <w:rPr>
                    <w:rFonts w:ascii="Cambria Math" w:hAnsi="Cambria Math" w:hint="eastAsia"/>
                    <w:sz w:val="21"/>
                  </w:rPr>
                  <m:t>A</m:t>
                </m:r>
                <m:ctrlPr>
                  <w:rPr>
                    <w:rFonts w:ascii="Cambria Math" w:hAnsi="Cambria Math" w:hint="eastAsia"/>
                    <w:i/>
                    <w:sz w:val="21"/>
                  </w:rPr>
                </m:ctrlPr>
              </m:e>
              <m:sub>
                <m:r>
                  <w:rPr>
                    <w:rFonts w:ascii="Cambria Math" w:hAnsi="Cambria Math" w:hint="eastAsia"/>
                    <w:sz w:val="21"/>
                  </w:rPr>
                  <m:t>u,j</m:t>
                </m:r>
              </m:sub>
            </m:sSub>
            <m:ctrlPr>
              <w:rPr>
                <w:rFonts w:ascii="Cambria Math" w:hAnsi="Cambria Math"/>
                <w:i/>
                <w:sz w:val="21"/>
              </w:rPr>
            </m:ctrlPr>
          </m:e>
        </m:func>
        <m:r>
          <w:rPr>
            <w:rFonts w:ascii="Cambria Math" w:hAnsi="Cambria Math" w:cs="Cambria Math"/>
            <w:sz w:val="21"/>
          </w:rPr>
          <m:t>-</m:t>
        </m:r>
        <m:sSub>
          <m:sSubPr>
            <m:ctrlPr>
              <w:rPr>
                <w:rFonts w:ascii="Cambria Math" w:hAnsi="Cambria Math"/>
                <w:i/>
                <w:sz w:val="21"/>
              </w:rPr>
            </m:ctrlPr>
          </m:sSubPr>
          <m:e>
            <m:r>
              <w:rPr>
                <w:rFonts w:ascii="Cambria Math" w:hAnsi="Cambria Math" w:hint="eastAsia"/>
                <w:sz w:val="21"/>
              </w:rPr>
              <m:t>A</m:t>
            </m:r>
            <m:ctrlPr>
              <w:rPr>
                <w:rFonts w:ascii="Cambria Math" w:hAnsi="Cambria Math" w:cs="Cambria Math"/>
                <w:i/>
                <w:sz w:val="21"/>
              </w:rPr>
            </m:ctrlPr>
          </m:e>
          <m:sub>
            <m:r>
              <w:rPr>
                <w:rFonts w:ascii="Cambria Math" w:hAnsi="Cambria Math" w:hint="eastAsia"/>
                <w:sz w:val="21"/>
              </w:rPr>
              <m:t>u,a</m:t>
            </m:r>
          </m:sub>
        </m:sSub>
      </m:oMath>
      <w:r w:rsidRPr="00CC0F03">
        <w:rPr>
          <w:rFonts w:ascii="Cambria Math" w:hAnsi="Cambria Math" w:hint="eastAsia"/>
          <w:sz w:val="21"/>
        </w:rPr>
        <w:t>,</w:t>
      </w:r>
      <w:r w:rsidRPr="00CC0F03">
        <w:rPr>
          <w:rFonts w:ascii="Cambria Math" w:hAnsi="Cambria Math" w:hint="eastAsia"/>
          <w:sz w:val="21"/>
        </w:rPr>
        <w:tab/>
        <w:t>(20)</w:t>
      </w:r>
    </w:p>
    <w:p w14:paraId="6CF7A97A" w14:textId="66A57946"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r>
              <w:rPr>
                <w:rFonts w:ascii="Cambria Math" w:hAnsi="Cambria Math"/>
                <w:sz w:val="21"/>
              </w:rPr>
              <m:t>G</m:t>
            </m:r>
          </m:e>
          <m:sub>
            <m:r>
              <w:rPr>
                <w:rFonts w:ascii="Cambria Math" w:hAnsi="Cambria Math"/>
                <w:sz w:val="21"/>
              </w:rPr>
              <m:t>sel,u,p,K</m:t>
            </m:r>
          </m:sub>
        </m:sSub>
        <m:r>
          <w:rPr>
            <w:rFonts w:ascii="Cambria Math" w:hAnsi="Cambria Math"/>
            <w:sz w:val="21"/>
          </w:rPr>
          <m:t>=</m:t>
        </m:r>
        <m:sSub>
          <m:sSubPr>
            <m:ctrlPr>
              <w:rPr>
                <w:rFonts w:ascii="Cambria Math" w:hAnsi="Cambria Math"/>
                <w:i/>
                <w:sz w:val="21"/>
              </w:rPr>
            </m:ctrlPr>
          </m:sSubPr>
          <m:e>
            <m:r>
              <w:rPr>
                <w:rFonts w:ascii="Cambria Math" w:hAnsi="Cambria Math"/>
                <w:sz w:val="21"/>
              </w:rPr>
              <m:t>A</m:t>
            </m:r>
          </m:e>
          <m:sub>
            <m:r>
              <w:rPr>
                <w:rFonts w:ascii="Cambria Math" w:hAnsi="Cambria Math"/>
                <w:sz w:val="21"/>
              </w:rPr>
              <m:t>u,</m:t>
            </m:r>
            <m:sSub>
              <m:sSubPr>
                <m:ctrlPr>
                  <w:rPr>
                    <w:rFonts w:ascii="Cambria Math" w:hAnsi="Cambria Math"/>
                    <w:i/>
                    <w:sz w:val="21"/>
                  </w:rPr>
                </m:ctrlPr>
              </m:sSubPr>
              <m:e>
                <m:acc>
                  <m:accPr>
                    <m:ctrlPr>
                      <w:rPr>
                        <w:rFonts w:ascii="Cambria Math" w:hAnsi="Cambria Math"/>
                        <w:i/>
                        <w:sz w:val="21"/>
                      </w:rPr>
                    </m:ctrlPr>
                  </m:accPr>
                  <m:e>
                    <m:r>
                      <w:rPr>
                        <w:rFonts w:ascii="Cambria Math" w:hAnsi="Cambria Math"/>
                        <w:sz w:val="21"/>
                      </w:rPr>
                      <m:t>j</m:t>
                    </m:r>
                  </m:e>
                </m:acc>
              </m:e>
              <m:sub>
                <m:r>
                  <w:rPr>
                    <w:rFonts w:ascii="Cambria Math" w:hAnsi="Cambria Math"/>
                    <w:sz w:val="21"/>
                  </w:rPr>
                  <m:t>u,p,K</m:t>
                </m:r>
              </m:sub>
            </m:sSub>
          </m:sub>
        </m:sSub>
        <m:r>
          <w:rPr>
            <w:rFonts w:ascii="Cambria Math" w:hAnsi="Cambria Math"/>
            <w:sz w:val="21"/>
          </w:rPr>
          <m:t>-</m:t>
        </m:r>
        <m:sSub>
          <m:sSubPr>
            <m:ctrlPr>
              <w:rPr>
                <w:rFonts w:ascii="Cambria Math" w:hAnsi="Cambria Math"/>
                <w:i/>
                <w:sz w:val="21"/>
              </w:rPr>
            </m:ctrlPr>
          </m:sSubPr>
          <m:e>
            <m:r>
              <w:rPr>
                <w:rFonts w:ascii="Cambria Math" w:hAnsi="Cambria Math"/>
                <w:sz w:val="21"/>
              </w:rPr>
              <m:t>A</m:t>
            </m:r>
          </m:e>
          <m:sub>
            <m:r>
              <w:rPr>
                <w:rFonts w:ascii="Cambria Math" w:hAnsi="Cambria Math"/>
                <w:sz w:val="21"/>
              </w:rPr>
              <m:t>u,a</m:t>
            </m:r>
          </m:sub>
        </m:sSub>
      </m:oMath>
      <w:r w:rsidRPr="00CC0F03">
        <w:rPr>
          <w:rFonts w:ascii="Cambria Math" w:hAnsi="Cambria Math"/>
          <w:sz w:val="21"/>
        </w:rPr>
        <w:t>,</w:t>
      </w:r>
      <w:r w:rsidRPr="00CC0F03">
        <w:rPr>
          <w:rFonts w:ascii="Cambria Math" w:hAnsi="Cambria Math"/>
          <w:sz w:val="21"/>
        </w:rPr>
        <w:tab/>
        <w:t>(21)</w:t>
      </w:r>
    </w:p>
    <w:tbl>
      <w:tblPr>
        <w:tblW w:w="9360" w:type="dxa"/>
        <w:jc w:val="center"/>
        <w:tblLayout w:type="fixed"/>
        <w:tblLook w:val="0000" w:firstRow="0" w:lastRow="0" w:firstColumn="0" w:lastColumn="0" w:noHBand="0" w:noVBand="0"/>
      </w:tblPr>
      <w:tblGrid>
        <w:gridCol w:w="8520"/>
        <w:gridCol w:w="840"/>
      </w:tblGrid>
      <w:tr w:rsidR="00CC0F03" w14:paraId="1EB17627" w14:textId="77777777" w:rsidTr="00CC0F03">
        <w:trPr>
          <w:jc w:val="center"/>
        </w:trPr>
        <w:tc>
          <w:tcPr>
            <w:tcW w:w="8520" w:type="dxa"/>
            <w:vAlign w:val="center"/>
          </w:tcPr>
          <w:p w14:paraId="412E53F4" w14:textId="01FE5013" w:rsidR="00CC0F03" w:rsidRPr="00CC0F03" w:rsidRDefault="00DF7F9B" w:rsidP="00CC0F03">
            <w:pPr>
              <w:spacing w:before="60" w:after="60"/>
              <w:jc w:val="center"/>
              <w:rPr>
                <w:rFonts w:ascii="Cambria Math" w:hAnsi="Cambria Math"/>
                <w:sz w:val="15"/>
              </w:rPr>
            </w:pPr>
            <m:oMathPara>
              <m:oMath>
                <m:sSub>
                  <m:sSubPr>
                    <m:ctrlPr>
                      <w:rPr>
                        <w:rFonts w:ascii="Cambria Math" w:hAnsi="Cambria Math"/>
                        <w:i/>
                        <w:sz w:val="15"/>
                      </w:rPr>
                    </m:ctrlPr>
                  </m:sSubPr>
                  <m:e>
                    <m:acc>
                      <m:accPr>
                        <m:chr m:val="̃"/>
                        <m:ctrlPr>
                          <w:rPr>
                            <w:rFonts w:ascii="Cambria Math" w:hAnsi="Cambria Math"/>
                            <w:i/>
                            <w:sz w:val="15"/>
                          </w:rPr>
                        </m:ctrlPr>
                      </m:accPr>
                      <m:e>
                        <m:r>
                          <w:rPr>
                            <w:rFonts w:ascii="Cambria Math" w:hAnsi="Cambria Math"/>
                            <w:sz w:val="15"/>
                          </w:rPr>
                          <m:t>G</m:t>
                        </m:r>
                      </m:e>
                    </m:acc>
                  </m:e>
                  <m:sub>
                    <m:r>
                      <w:rPr>
                        <w:rFonts w:ascii="Cambria Math" w:hAnsi="Cambria Math"/>
                        <w:sz w:val="15"/>
                      </w:rPr>
                      <m:t>sel,e,p,K</m:t>
                    </m:r>
                  </m:sub>
                </m:sSub>
                <m:r>
                  <w:rPr>
                    <w:rFonts w:ascii="Cambria Math" w:hAnsi="Cambria Math"/>
                    <w:sz w:val="15"/>
                  </w:rPr>
                  <m:t>=</m:t>
                </m:r>
                <m:f>
                  <m:fPr>
                    <m:ctrlPr>
                      <w:rPr>
                        <w:rFonts w:ascii="Cambria Math" w:hAnsi="Cambria Math"/>
                        <w:i/>
                        <w:sz w:val="15"/>
                      </w:rPr>
                    </m:ctrlPr>
                  </m:fPr>
                  <m:num>
                    <m:r>
                      <w:rPr>
                        <w:rFonts w:ascii="Cambria Math" w:hAnsi="Cambria Math"/>
                        <w:sz w:val="15"/>
                      </w:rPr>
                      <m:t>1</m:t>
                    </m:r>
                  </m:num>
                  <m:den>
                    <m:r>
                      <w:rPr>
                        <w:rFonts w:ascii="Cambria Math" w:hAnsi="Cambria Math"/>
                        <w:sz w:val="15"/>
                      </w:rPr>
                      <m:t>SF</m:t>
                    </m:r>
                  </m:den>
                </m:f>
                <m:nary>
                  <m:naryPr>
                    <m:chr m:val="∑"/>
                    <m:supHide m:val="1"/>
                    <m:ctrlPr>
                      <w:rPr>
                        <w:rFonts w:ascii="Cambria Math" w:hAnsi="Cambria Math"/>
                        <w:i/>
                        <w:sz w:val="15"/>
                      </w:rPr>
                    </m:ctrlPr>
                  </m:naryPr>
                  <m:sub>
                    <m:r>
                      <w:rPr>
                        <w:rFonts w:ascii="Cambria Math" w:hAnsi="Cambria Math"/>
                        <w:sz w:val="15"/>
                      </w:rPr>
                      <m:t>s,f</m:t>
                    </m:r>
                  </m:sub>
                  <m:sup/>
                  <m:e>
                    <m:f>
                      <m:fPr>
                        <m:ctrlPr>
                          <w:rPr>
                            <w:rFonts w:ascii="Cambria Math" w:hAnsi="Cambria Math"/>
                            <w:i/>
                            <w:sz w:val="15"/>
                          </w:rPr>
                        </m:ctrlPr>
                      </m:fPr>
                      <m:num>
                        <m:sSub>
                          <m:sSubPr>
                            <m:ctrlPr>
                              <w:rPr>
                                <w:rFonts w:ascii="Cambria Math" w:hAnsi="Cambria Math"/>
                                <w:i/>
                                <w:sz w:val="15"/>
                              </w:rPr>
                            </m:ctrlPr>
                          </m:sSubPr>
                          <m:e>
                            <m:r>
                              <w:rPr>
                                <w:rFonts w:ascii="Cambria Math" w:hAnsi="Cambria Math"/>
                                <w:sz w:val="15"/>
                              </w:rPr>
                              <m:t>G</m:t>
                            </m:r>
                          </m:e>
                          <m:sub>
                            <m:r>
                              <w:rPr>
                                <w:rFonts w:ascii="Cambria Math" w:hAnsi="Cambria Math"/>
                                <w:sz w:val="15"/>
                              </w:rPr>
                              <m:t>sel,</m:t>
                            </m:r>
                            <m:d>
                              <m:dPr>
                                <m:ctrlPr>
                                  <w:rPr>
                                    <w:rFonts w:ascii="Cambria Math" w:hAnsi="Cambria Math"/>
                                    <w:i/>
                                    <w:sz w:val="15"/>
                                  </w:rPr>
                                </m:ctrlPr>
                              </m:dPr>
                              <m:e>
                                <m:r>
                                  <w:rPr>
                                    <w:rFonts w:ascii="Cambria Math" w:hAnsi="Cambria Math"/>
                                    <w:sz w:val="15"/>
                                  </w:rPr>
                                  <m:t>s,f</m:t>
                                </m:r>
                              </m:e>
                            </m:d>
                            <m:r>
                              <w:rPr>
                                <w:rFonts w:ascii="Cambria Math" w:hAnsi="Cambria Math"/>
                                <w:sz w:val="15"/>
                              </w:rPr>
                              <m:t>,p,K</m:t>
                            </m:r>
                          </m:sub>
                        </m:sSub>
                      </m:num>
                      <m:den>
                        <m:sSub>
                          <m:sSubPr>
                            <m:ctrlPr>
                              <w:rPr>
                                <w:rFonts w:ascii="Cambria Math" w:hAnsi="Cambria Math"/>
                                <w:i/>
                                <w:sz w:val="15"/>
                              </w:rPr>
                            </m:ctrlPr>
                          </m:sSubPr>
                          <m:e>
                            <m:r>
                              <w:rPr>
                                <w:rFonts w:ascii="Cambria Math" w:hAnsi="Cambria Math"/>
                                <w:sz w:val="15"/>
                              </w:rPr>
                              <m:t>G</m:t>
                            </m:r>
                          </m:e>
                          <m:sub>
                            <m:r>
                              <w:rPr>
                                <w:rFonts w:ascii="Cambria Math" w:hAnsi="Cambria Math"/>
                                <w:sz w:val="15"/>
                              </w:rPr>
                              <m:t>best,</m:t>
                            </m:r>
                            <m:d>
                              <m:dPr>
                                <m:ctrlPr>
                                  <w:rPr>
                                    <w:rFonts w:ascii="Cambria Math" w:hAnsi="Cambria Math"/>
                                    <w:i/>
                                    <w:sz w:val="15"/>
                                  </w:rPr>
                                </m:ctrlPr>
                              </m:dPr>
                              <m:e>
                                <m:r>
                                  <w:rPr>
                                    <w:rFonts w:ascii="Cambria Math" w:hAnsi="Cambria Math"/>
                                    <w:sz w:val="15"/>
                                  </w:rPr>
                                  <m:t>s,f</m:t>
                                </m:r>
                              </m:e>
                            </m:d>
                            <m:r>
                              <w:rPr>
                                <w:rFonts w:ascii="Cambria Math" w:hAnsi="Cambria Math"/>
                                <w:sz w:val="15"/>
                              </w:rPr>
                              <m:t>,hom,K</m:t>
                            </m:r>
                          </m:sub>
                        </m:sSub>
                      </m:den>
                    </m:f>
                  </m:e>
                </m:nary>
              </m:oMath>
            </m:oMathPara>
          </w:p>
        </w:tc>
        <w:tc>
          <w:tcPr>
            <w:tcW w:w="840" w:type="dxa"/>
            <w:vAlign w:val="center"/>
          </w:tcPr>
          <w:p w14:paraId="29578C63" w14:textId="53B4323D" w:rsidR="00CC0F03" w:rsidRPr="00CC0F03" w:rsidRDefault="00CC0F03" w:rsidP="00CC0F03">
            <w:pPr>
              <w:spacing w:before="60" w:after="60"/>
              <w:jc w:val="right"/>
              <w:rPr>
                <w:rFonts w:ascii="Cambria Math" w:hAnsi="Cambria Math"/>
                <w:sz w:val="21"/>
              </w:rPr>
            </w:pPr>
            <w:r w:rsidRPr="00CC0F03">
              <w:rPr>
                <w:rFonts w:ascii="Cambria Math" w:hAnsi="Cambria Math"/>
                <w:sz w:val="21"/>
              </w:rPr>
              <w:t>(22)</w:t>
            </w:r>
          </w:p>
        </w:tc>
      </w:tr>
    </w:tbl>
    <w:p w14:paraId="742D947E" w14:textId="75F89F7D" w:rsidR="00EE56A9" w:rsidRDefault="00EE56A9"/>
    <w:p w14:paraId="13A6AAA0" w14:textId="07F561C7"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r>
              <w:rPr>
                <w:rFonts w:ascii="Cambria Math" w:hAnsi="Cambria Math"/>
                <w:sz w:val="21"/>
              </w:rPr>
              <m:t>d</m:t>
            </m:r>
          </m:e>
          <m:sub>
            <m:r>
              <w:rPr>
                <w:rFonts w:ascii="Cambria Math" w:hAnsi="Cambria Math"/>
                <w:sz w:val="21"/>
              </w:rPr>
              <m:t>rel,e,p,K</m:t>
            </m:r>
          </m:sub>
        </m:sSub>
        <m:r>
          <w:rPr>
            <w:rFonts w:ascii="Cambria Math" w:hAnsi="Cambria Math"/>
            <w:sz w:val="21"/>
          </w:rPr>
          <m:t>=</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r</m:t>
                </m:r>
              </m:e>
              <m:sub>
                <m:r>
                  <w:rPr>
                    <w:rFonts w:ascii="Cambria Math" w:hAnsi="Cambria Math"/>
                    <w:sz w:val="21"/>
                  </w:rPr>
                  <m:t>ent</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X</m:t>
                        </m:r>
                      </m:e>
                      <m:sub>
                        <m:r>
                          <w:rPr>
                            <w:rFonts w:ascii="Cambria Math" w:hAnsi="Cambria Math"/>
                            <w:sz w:val="21"/>
                          </w:rPr>
                          <m:t>e,p,K</m:t>
                        </m:r>
                      </m:sub>
                    </m:sSub>
                  </m:e>
                </m:d>
              </m:sub>
            </m:sSub>
          </m:num>
          <m:den>
            <m:r>
              <w:rPr>
                <w:rFonts w:ascii="Cambria Math" w:hAnsi="Cambria Math"/>
                <w:sz w:val="21"/>
              </w:rPr>
              <m:t>K</m:t>
            </m:r>
          </m:den>
        </m:f>
      </m:oMath>
      <w:r w:rsidRPr="00CC0F03">
        <w:rPr>
          <w:rFonts w:ascii="Cambria Math" w:hAnsi="Cambria Math"/>
          <w:sz w:val="21"/>
        </w:rPr>
        <w:t>,</w:t>
      </w:r>
      <w:r w:rsidRPr="00CC0F03">
        <w:rPr>
          <w:rFonts w:ascii="Cambria Math" w:hAnsi="Cambria Math"/>
          <w:sz w:val="21"/>
        </w:rPr>
        <w:tab/>
        <w:t>(23)</w:t>
      </w:r>
    </w:p>
    <w:tbl>
      <w:tblPr>
        <w:tblW w:w="9360" w:type="dxa"/>
        <w:jc w:val="center"/>
        <w:tblLayout w:type="fixed"/>
        <w:tblLook w:val="0000" w:firstRow="0" w:lastRow="0" w:firstColumn="0" w:lastColumn="0" w:noHBand="0" w:noVBand="0"/>
      </w:tblPr>
      <w:tblGrid>
        <w:gridCol w:w="8520"/>
        <w:gridCol w:w="840"/>
      </w:tblGrid>
      <w:tr w:rsidR="00CC0F03" w14:paraId="6C0C93E8" w14:textId="77777777" w:rsidTr="00CC0F03">
        <w:trPr>
          <w:jc w:val="center"/>
        </w:trPr>
        <w:tc>
          <w:tcPr>
            <w:tcW w:w="8520" w:type="dxa"/>
            <w:vAlign w:val="center"/>
          </w:tcPr>
          <w:p w14:paraId="61706BA7" w14:textId="3F7FB619" w:rsidR="00CC0F03" w:rsidRPr="00CC0F03" w:rsidRDefault="00DF7F9B" w:rsidP="00CC0F03">
            <w:pPr>
              <w:spacing w:before="60" w:after="60"/>
              <w:jc w:val="center"/>
              <w:rPr>
                <w:rFonts w:ascii="Cambria Math" w:hAnsi="Cambria Math"/>
                <w:sz w:val="15"/>
              </w:rPr>
            </w:pPr>
            <m:oMathPara>
              <m:oMath>
                <m:sSub>
                  <m:sSubPr>
                    <m:ctrlPr>
                      <w:rPr>
                        <w:rFonts w:ascii="Cambria Math" w:hAnsi="Cambria Math"/>
                        <w:i/>
                        <w:sz w:val="15"/>
                      </w:rPr>
                    </m:ctrlPr>
                  </m:sSubPr>
                  <m:e>
                    <m:acc>
                      <m:accPr>
                        <m:chr m:val="̃"/>
                        <m:ctrlPr>
                          <w:rPr>
                            <w:rFonts w:ascii="Cambria Math" w:hAnsi="Cambria Math"/>
                            <w:i/>
                            <w:sz w:val="15"/>
                          </w:rPr>
                        </m:ctrlPr>
                      </m:accPr>
                      <m:e>
                        <m:r>
                          <w:rPr>
                            <w:rFonts w:ascii="Cambria Math" w:hAnsi="Cambria Math"/>
                            <w:sz w:val="15"/>
                          </w:rPr>
                          <m:t>L</m:t>
                        </m:r>
                      </m:e>
                    </m:acc>
                  </m:e>
                  <m:sub>
                    <m:r>
                      <w:rPr>
                        <w:rFonts w:ascii="Cambria Math" w:hAnsi="Cambria Math"/>
                        <w:sz w:val="15"/>
                      </w:rPr>
                      <m:t>CF,e,p,K</m:t>
                    </m:r>
                  </m:sub>
                </m:sSub>
                <m:r>
                  <w:rPr>
                    <w:rFonts w:ascii="Cambria Math" w:hAnsi="Cambria Math"/>
                    <w:sz w:val="15"/>
                  </w:rPr>
                  <m:t>=</m:t>
                </m:r>
                <m:f>
                  <m:fPr>
                    <m:ctrlPr>
                      <w:rPr>
                        <w:rFonts w:ascii="Cambria Math" w:hAnsi="Cambria Math"/>
                        <w:i/>
                        <w:sz w:val="15"/>
                      </w:rPr>
                    </m:ctrlPr>
                  </m:fPr>
                  <m:num>
                    <m:r>
                      <w:rPr>
                        <w:rFonts w:ascii="Cambria Math" w:hAnsi="Cambria Math"/>
                        <w:sz w:val="15"/>
                      </w:rPr>
                      <m:t>1</m:t>
                    </m:r>
                  </m:num>
                  <m:den>
                    <m:r>
                      <w:rPr>
                        <w:rFonts w:ascii="Cambria Math" w:hAnsi="Cambria Math"/>
                        <w:sz w:val="15"/>
                      </w:rPr>
                      <m:t>SF</m:t>
                    </m:r>
                  </m:den>
                </m:f>
                <m:nary>
                  <m:naryPr>
                    <m:chr m:val="∑"/>
                    <m:supHide m:val="1"/>
                    <m:ctrlPr>
                      <w:rPr>
                        <w:rFonts w:ascii="Cambria Math" w:hAnsi="Cambria Math"/>
                        <w:i/>
                        <w:sz w:val="15"/>
                      </w:rPr>
                    </m:ctrlPr>
                  </m:naryPr>
                  <m:sub>
                    <m:r>
                      <w:rPr>
                        <w:rFonts w:ascii="Cambria Math" w:hAnsi="Cambria Math"/>
                        <w:sz w:val="15"/>
                      </w:rPr>
                      <m:t>s,f</m:t>
                    </m:r>
                  </m:sub>
                  <m:sup/>
                  <m:e>
                    <m:f>
                      <m:fPr>
                        <m:ctrlPr>
                          <w:rPr>
                            <w:rFonts w:ascii="Cambria Math" w:hAnsi="Cambria Math"/>
                            <w:i/>
                            <w:sz w:val="15"/>
                          </w:rPr>
                        </m:ctrlPr>
                      </m:fPr>
                      <m:num>
                        <m:d>
                          <m:dPr>
                            <m:begChr m:val="["/>
                            <m:endChr m:val="]"/>
                            <m:ctrlPr>
                              <w:rPr>
                                <w:rFonts w:ascii="Cambria Math" w:hAnsi="Cambria Math"/>
                                <w:i/>
                                <w:sz w:val="15"/>
                              </w:rPr>
                            </m:ctrlPr>
                          </m:dPr>
                          <m:e>
                            <m:sSub>
                              <m:sSubPr>
                                <m:ctrlPr>
                                  <w:rPr>
                                    <w:rFonts w:ascii="Cambria Math" w:hAnsi="Cambria Math"/>
                                    <w:i/>
                                    <w:sz w:val="15"/>
                                  </w:rPr>
                                </m:ctrlPr>
                              </m:sSubPr>
                              <m:e>
                                <m:r>
                                  <w:rPr>
                                    <w:rFonts w:ascii="Cambria Math" w:hAnsi="Cambria Math"/>
                                    <w:sz w:val="15"/>
                                  </w:rPr>
                                  <m:t>A</m:t>
                                </m:r>
                              </m:e>
                              <m:sub>
                                <m:d>
                                  <m:dPr>
                                    <m:ctrlPr>
                                      <w:rPr>
                                        <w:rFonts w:ascii="Cambria Math" w:hAnsi="Cambria Math"/>
                                        <w:i/>
                                        <w:sz w:val="15"/>
                                      </w:rPr>
                                    </m:ctrlPr>
                                  </m:dPr>
                                  <m:e>
                                    <m:r>
                                      <w:rPr>
                                        <w:rFonts w:ascii="Cambria Math" w:hAnsi="Cambria Math"/>
                                        <w:sz w:val="15"/>
                                      </w:rPr>
                                      <m:t>s,f</m:t>
                                    </m:r>
                                  </m:e>
                                </m:d>
                                <m:r>
                                  <w:rPr>
                                    <w:rFonts w:ascii="Cambria Math" w:hAnsi="Cambria Math"/>
                                    <w:sz w:val="15"/>
                                  </w:rPr>
                                  <m:t>,</m:t>
                                </m:r>
                                <m:sSub>
                                  <m:sSubPr>
                                    <m:ctrlPr>
                                      <w:rPr>
                                        <w:rFonts w:ascii="Cambria Math" w:hAnsi="Cambria Math"/>
                                        <w:i/>
                                        <w:sz w:val="15"/>
                                      </w:rPr>
                                    </m:ctrlPr>
                                  </m:sSubPr>
                                  <m:e>
                                    <m:r>
                                      <w:rPr>
                                        <w:rFonts w:ascii="Cambria Math" w:hAnsi="Cambria Math"/>
                                        <w:sz w:val="15"/>
                                      </w:rPr>
                                      <m:t>j</m:t>
                                    </m:r>
                                  </m:e>
                                  <m:sub>
                                    <m:r>
                                      <w:rPr>
                                        <w:rFonts w:ascii="Cambria Math" w:hAnsi="Cambria Math"/>
                                        <w:sz w:val="15"/>
                                      </w:rPr>
                                      <m:t>re</m:t>
                                    </m:r>
                                    <m:sSub>
                                      <m:sSubPr>
                                        <m:ctrlPr>
                                          <w:rPr>
                                            <w:rFonts w:ascii="Cambria Math" w:hAnsi="Cambria Math"/>
                                            <w:i/>
                                            <w:sz w:val="15"/>
                                          </w:rPr>
                                        </m:ctrlPr>
                                      </m:sSubPr>
                                      <m:e>
                                        <m:r>
                                          <w:rPr>
                                            <w:rFonts w:ascii="Cambria Math" w:hAnsi="Cambria Math"/>
                                            <w:sz w:val="15"/>
                                          </w:rPr>
                                          <m:t>f</m:t>
                                        </m:r>
                                      </m:e>
                                      <m:sub>
                                        <m:r>
                                          <w:rPr>
                                            <w:rFonts w:ascii="Cambria Math" w:hAnsi="Cambria Math"/>
                                            <w:sz w:val="15"/>
                                          </w:rPr>
                                          <m:t>-s</m:t>
                                        </m:r>
                                      </m:sub>
                                    </m:sSub>
                                  </m:sub>
                                </m:sSub>
                              </m:sub>
                            </m:sSub>
                            <m:r>
                              <w:rPr>
                                <w:rFonts w:ascii="Cambria Math" w:hAnsi="Cambria Math"/>
                                <w:sz w:val="15"/>
                              </w:rPr>
                              <m:t>-</m:t>
                            </m:r>
                            <m:sSub>
                              <m:sSubPr>
                                <m:ctrlPr>
                                  <w:rPr>
                                    <w:rFonts w:ascii="Cambria Math" w:hAnsi="Cambria Math"/>
                                    <w:i/>
                                    <w:sz w:val="15"/>
                                  </w:rPr>
                                </m:ctrlPr>
                              </m:sSubPr>
                              <m:e>
                                <m:r>
                                  <w:rPr>
                                    <w:rFonts w:ascii="Cambria Math" w:hAnsi="Cambria Math"/>
                                    <w:sz w:val="15"/>
                                  </w:rPr>
                                  <m:t>A</m:t>
                                </m:r>
                              </m:e>
                              <m:sub>
                                <m:d>
                                  <m:dPr>
                                    <m:ctrlPr>
                                      <w:rPr>
                                        <w:rFonts w:ascii="Cambria Math" w:hAnsi="Cambria Math"/>
                                        <w:i/>
                                        <w:sz w:val="15"/>
                                      </w:rPr>
                                    </m:ctrlPr>
                                  </m:dPr>
                                  <m:e>
                                    <m:r>
                                      <w:rPr>
                                        <w:rFonts w:ascii="Cambria Math" w:hAnsi="Cambria Math"/>
                                        <w:sz w:val="15"/>
                                      </w:rPr>
                                      <m:t>s,f</m:t>
                                    </m:r>
                                  </m:e>
                                </m:d>
                                <m:r>
                                  <w:rPr>
                                    <w:rFonts w:ascii="Cambria Math" w:hAnsi="Cambria Math"/>
                                    <w:sz w:val="15"/>
                                  </w:rPr>
                                  <m:t>,</m:t>
                                </m:r>
                                <m:sSub>
                                  <m:sSubPr>
                                    <m:ctrlPr>
                                      <w:rPr>
                                        <w:rFonts w:ascii="Cambria Math" w:hAnsi="Cambria Math"/>
                                        <w:i/>
                                        <w:sz w:val="15"/>
                                      </w:rPr>
                                    </m:ctrlPr>
                                  </m:sSubPr>
                                  <m:e>
                                    <m:acc>
                                      <m:accPr>
                                        <m:ctrlPr>
                                          <w:rPr>
                                            <w:rFonts w:ascii="Cambria Math" w:hAnsi="Cambria Math"/>
                                            <w:i/>
                                            <w:sz w:val="15"/>
                                          </w:rPr>
                                        </m:ctrlPr>
                                      </m:accPr>
                                      <m:e>
                                        <m:r>
                                          <w:rPr>
                                            <w:rFonts w:ascii="Cambria Math" w:hAnsi="Cambria Math"/>
                                            <w:sz w:val="15"/>
                                          </w:rPr>
                                          <m:t>j</m:t>
                                        </m:r>
                                      </m:e>
                                    </m:acc>
                                  </m:e>
                                  <m:sub>
                                    <m:d>
                                      <m:dPr>
                                        <m:ctrlPr>
                                          <w:rPr>
                                            <w:rFonts w:ascii="Cambria Math" w:hAnsi="Cambria Math"/>
                                            <w:i/>
                                            <w:sz w:val="15"/>
                                          </w:rPr>
                                        </m:ctrlPr>
                                      </m:dPr>
                                      <m:e>
                                        <m:r>
                                          <w:rPr>
                                            <w:rFonts w:ascii="Cambria Math" w:hAnsi="Cambria Math"/>
                                            <w:sz w:val="15"/>
                                          </w:rPr>
                                          <m:t>s,f</m:t>
                                        </m:r>
                                      </m:e>
                                    </m:d>
                                  </m:sub>
                                </m:sSub>
                              </m:sub>
                            </m:sSub>
                          </m:e>
                        </m:d>
                      </m:num>
                      <m:den>
                        <m:sSub>
                          <m:sSubPr>
                            <m:ctrlPr>
                              <w:rPr>
                                <w:rFonts w:ascii="Cambria Math" w:hAnsi="Cambria Math"/>
                                <w:i/>
                                <w:sz w:val="15"/>
                              </w:rPr>
                            </m:ctrlPr>
                          </m:sSubPr>
                          <m:e>
                            <m:r>
                              <w:rPr>
                                <w:rFonts w:ascii="Cambria Math" w:hAnsi="Cambria Math"/>
                                <w:sz w:val="15"/>
                              </w:rPr>
                              <m:t>G</m:t>
                            </m:r>
                          </m:e>
                          <m:sub>
                            <m:r>
                              <w:rPr>
                                <w:rFonts w:ascii="Cambria Math" w:hAnsi="Cambria Math"/>
                                <w:sz w:val="15"/>
                              </w:rPr>
                              <m:t>best,</m:t>
                            </m:r>
                            <m:d>
                              <m:dPr>
                                <m:ctrlPr>
                                  <w:rPr>
                                    <w:rFonts w:ascii="Cambria Math" w:hAnsi="Cambria Math"/>
                                    <w:i/>
                                    <w:sz w:val="15"/>
                                  </w:rPr>
                                </m:ctrlPr>
                              </m:dPr>
                              <m:e>
                                <m:r>
                                  <w:rPr>
                                    <w:rFonts w:ascii="Cambria Math" w:hAnsi="Cambria Math"/>
                                    <w:sz w:val="15"/>
                                  </w:rPr>
                                  <m:t>s,f</m:t>
                                </m:r>
                              </m:e>
                            </m:d>
                            <m:r>
                              <w:rPr>
                                <w:rFonts w:ascii="Cambria Math" w:hAnsi="Cambria Math"/>
                                <w:sz w:val="15"/>
                              </w:rPr>
                              <m:t>,hom,K</m:t>
                            </m:r>
                          </m:sub>
                        </m:sSub>
                      </m:den>
                    </m:f>
                  </m:e>
                </m:nary>
              </m:oMath>
            </m:oMathPara>
          </w:p>
        </w:tc>
        <w:tc>
          <w:tcPr>
            <w:tcW w:w="840" w:type="dxa"/>
            <w:vAlign w:val="center"/>
          </w:tcPr>
          <w:p w14:paraId="30DEBD2F" w14:textId="74BD7209" w:rsidR="00CC0F03" w:rsidRPr="00CC0F03" w:rsidRDefault="00CC0F03" w:rsidP="00CC0F03">
            <w:pPr>
              <w:spacing w:before="60" w:after="60"/>
              <w:jc w:val="right"/>
              <w:rPr>
                <w:rFonts w:ascii="Cambria Math" w:hAnsi="Cambria Math"/>
                <w:sz w:val="21"/>
              </w:rPr>
            </w:pPr>
            <w:r w:rsidRPr="00CC0F03">
              <w:rPr>
                <w:rFonts w:ascii="Cambria Math" w:hAnsi="Cambria Math"/>
                <w:sz w:val="21"/>
              </w:rPr>
              <w:t>(24)</w:t>
            </w:r>
          </w:p>
        </w:tc>
      </w:tr>
    </w:tbl>
    <w:p w14:paraId="7BEC718C" w14:textId="0FEE9942" w:rsidR="00EE56A9" w:rsidRDefault="00EE56A9"/>
    <w:p w14:paraId="38CCF541" w14:textId="4D282BBA"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r>
              <w:rPr>
                <w:rFonts w:ascii="Cambria Math" w:hAnsi="Cambria Math"/>
                <w:sz w:val="21"/>
              </w:rPr>
              <m:t>η</m:t>
            </m:r>
          </m:e>
          <m:sub>
            <m:r>
              <w:rPr>
                <w:rFonts w:ascii="Cambria Math" w:hAnsi="Cambria Math"/>
                <w:sz w:val="21"/>
              </w:rPr>
              <m:t>down,u,p,K</m:t>
            </m:r>
          </m:sub>
        </m:sSub>
        <m:r>
          <w:rPr>
            <w:rFonts w:ascii="Cambria Math" w:hAnsi="Cambria Math"/>
            <w:sz w:val="21"/>
          </w:rPr>
          <m:t>=</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G</m:t>
                </m:r>
              </m:e>
              <m:sub>
                <m:r>
                  <w:rPr>
                    <w:rFonts w:ascii="Cambria Math" w:hAnsi="Cambria Math"/>
                    <w:sz w:val="21"/>
                  </w:rPr>
                  <m:t>sel,u,p,K</m:t>
                </m:r>
              </m:sub>
            </m:sSub>
          </m:num>
          <m:den>
            <m:sSub>
              <m:sSubPr>
                <m:ctrlPr>
                  <w:rPr>
                    <w:rFonts w:ascii="Cambria Math" w:hAnsi="Cambria Math"/>
                    <w:i/>
                    <w:sz w:val="21"/>
                  </w:rPr>
                </m:ctrlPr>
              </m:sSubPr>
              <m:e>
                <m:r>
                  <w:rPr>
                    <w:rFonts w:ascii="Cambria Math" w:hAnsi="Cambria Math"/>
                    <w:sz w:val="21"/>
                  </w:rPr>
                  <m:t>T</m:t>
                </m:r>
              </m:e>
              <m:sub>
                <m:r>
                  <w:rPr>
                    <w:rFonts w:ascii="Cambria Math" w:hAnsi="Cambria Math"/>
                    <w:sz w:val="21"/>
                  </w:rPr>
                  <m:t>down,u,p,K</m:t>
                </m:r>
              </m:sub>
            </m:sSub>
          </m:den>
        </m:f>
      </m:oMath>
      <w:r w:rsidRPr="00CC0F03">
        <w:rPr>
          <w:rFonts w:ascii="Cambria Math" w:hAnsi="Cambria Math"/>
          <w:sz w:val="21"/>
        </w:rPr>
        <w:t>.</w:t>
      </w:r>
      <w:r w:rsidRPr="00CC0F03">
        <w:rPr>
          <w:rFonts w:ascii="Cambria Math" w:hAnsi="Cambria Math"/>
          <w:sz w:val="21"/>
        </w:rPr>
        <w:tab/>
        <w:t>(25)</w:t>
      </w:r>
    </w:p>
    <w:p w14:paraId="29E99FF2" w14:textId="77777777" w:rsidR="00EE56A9" w:rsidRDefault="00721CC4">
      <w:pPr>
        <w:pStyle w:val="31"/>
      </w:pPr>
      <w:r>
        <w:t>选择稳定性</w:t>
      </w:r>
    </w:p>
    <w:p w14:paraId="02A9DEE2" w14:textId="77777777" w:rsidR="00EE56A9" w:rsidRDefault="00721CC4">
      <w:r>
        <w:t>此处</w:t>
      </w:r>
      <w:r>
        <w:t xml:space="preserve"> q_j </w:t>
      </w:r>
      <w:r>
        <w:t>为候选</w:t>
      </w:r>
      <w:r>
        <w:t xml:space="preserve"> j </w:t>
      </w:r>
      <w:r>
        <w:t>在重复外层审计单元中被选中的比例，与公式（</w:t>
      </w:r>
      <w:r>
        <w:t>5</w:t>
      </w:r>
      <w:r>
        <w:t>）的排序截断</w:t>
      </w:r>
      <w:r>
        <w:t xml:space="preserve"> q </w:t>
      </w:r>
      <w:r>
        <w:t>不同。</w:t>
      </w:r>
    </w:p>
    <w:p w14:paraId="49D84105" w14:textId="2E4A54A8"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hint="eastAsia"/>
          <w:sz w:val="21"/>
        </w:rPr>
        <w:tab/>
      </w:r>
      <m:oMath>
        <m:sSub>
          <m:sSubPr>
            <m:ctrlPr>
              <w:rPr>
                <w:rFonts w:ascii="Cambria Math" w:hAnsi="Cambria Math"/>
                <w:i/>
                <w:sz w:val="21"/>
              </w:rPr>
            </m:ctrlPr>
          </m:sSubPr>
          <m:e>
            <m:r>
              <w:rPr>
                <w:rFonts w:ascii="Cambria Math" w:hAnsi="Cambria Math" w:hint="eastAsia"/>
                <w:sz w:val="21"/>
              </w:rPr>
              <m:t>H</m:t>
            </m:r>
            <m:ctrlPr>
              <w:rPr>
                <w:rFonts w:ascii="Cambria Math" w:hAnsi="Cambria Math" w:hint="eastAsia"/>
                <w:i/>
                <w:sz w:val="21"/>
              </w:rPr>
            </m:ctrlPr>
          </m:e>
          <m:sub>
            <m:r>
              <w:rPr>
                <w:rFonts w:ascii="Cambria Math" w:hAnsi="Cambria Math" w:hint="eastAsia"/>
                <w:sz w:val="21"/>
              </w:rPr>
              <m:t>sel</m:t>
            </m:r>
          </m:sub>
        </m:sSub>
        <m:r>
          <w:rPr>
            <w:rFonts w:ascii="Cambria Math" w:hAnsi="Cambria Math" w:hint="eastAsia"/>
            <w:sz w:val="21"/>
          </w:rPr>
          <m:t>=</m:t>
        </m:r>
        <m:r>
          <w:rPr>
            <w:rFonts w:ascii="Cambria Math" w:hAnsi="Cambria Math" w:cs="Cambria Math"/>
            <w:sz w:val="21"/>
          </w:rPr>
          <m:t>-</m:t>
        </m:r>
        <m:nary>
          <m:naryPr>
            <m:chr m:val="∑"/>
            <m:supHide m:val="1"/>
            <m:ctrlPr>
              <w:rPr>
                <w:rFonts w:ascii="Cambria Math" w:hAnsi="Cambria Math"/>
                <w:i/>
                <w:sz w:val="21"/>
              </w:rPr>
            </m:ctrlPr>
          </m:naryPr>
          <m:sub>
            <m:r>
              <w:rPr>
                <w:rFonts w:ascii="Cambria Math" w:hAnsi="Cambria Math" w:hint="eastAsia"/>
                <w:sz w:val="21"/>
              </w:rPr>
              <m:t>j</m:t>
            </m:r>
          </m:sub>
          <m:sup/>
          <m:e>
            <m:sSub>
              <m:sSubPr>
                <m:ctrlPr>
                  <w:rPr>
                    <w:rFonts w:ascii="Cambria Math" w:hAnsi="Cambria Math"/>
                    <w:i/>
                    <w:sz w:val="21"/>
                  </w:rPr>
                </m:ctrlPr>
              </m:sSubPr>
              <m:e>
                <m:r>
                  <w:rPr>
                    <w:rFonts w:ascii="Cambria Math" w:hAnsi="Cambria Math" w:hint="eastAsia"/>
                    <w:sz w:val="21"/>
                  </w:rPr>
                  <m:t>q</m:t>
                </m:r>
              </m:e>
              <m:sub>
                <m:r>
                  <w:rPr>
                    <w:rFonts w:ascii="Cambria Math" w:hAnsi="Cambria Math" w:hint="eastAsia"/>
                    <w:sz w:val="21"/>
                  </w:rPr>
                  <m:t>j</m:t>
                </m:r>
              </m:sub>
            </m:sSub>
            <m:func>
              <m:funcPr>
                <m:ctrlPr>
                  <w:rPr>
                    <w:rFonts w:ascii="Cambria Math" w:hAnsi="Cambria Math"/>
                    <w:sz w:val="21"/>
                  </w:rPr>
                </m:ctrlPr>
              </m:funcPr>
              <m:fName>
                <m:r>
                  <m:rPr>
                    <m:sty m:val="p"/>
                  </m:rPr>
                  <w:rPr>
                    <w:rFonts w:ascii="Cambria Math" w:hAnsi="Cambria Math"/>
                    <w:sz w:val="21"/>
                  </w:rPr>
                  <m:t>ln</m:t>
                </m:r>
              </m:fName>
              <m:e>
                <m:d>
                  <m:dPr>
                    <m:ctrlPr>
                      <w:rPr>
                        <w:rFonts w:ascii="Cambria Math" w:hAnsi="Cambria Math"/>
                        <w:i/>
                        <w:sz w:val="21"/>
                      </w:rPr>
                    </m:ctrlPr>
                  </m:dPr>
                  <m:e>
                    <m:sSub>
                      <m:sSubPr>
                        <m:ctrlPr>
                          <w:rPr>
                            <w:rFonts w:ascii="Cambria Math" w:hAnsi="Cambria Math"/>
                            <w:i/>
                            <w:sz w:val="21"/>
                          </w:rPr>
                        </m:ctrlPr>
                      </m:sSubPr>
                      <m:e>
                        <m:r>
                          <w:rPr>
                            <w:rFonts w:ascii="Cambria Math" w:hAnsi="Cambria Math" w:hint="eastAsia"/>
                            <w:sz w:val="21"/>
                          </w:rPr>
                          <m:t>q</m:t>
                        </m:r>
                      </m:e>
                      <m:sub>
                        <m:r>
                          <w:rPr>
                            <w:rFonts w:ascii="Cambria Math" w:hAnsi="Cambria Math" w:hint="eastAsia"/>
                            <w:sz w:val="21"/>
                          </w:rPr>
                          <m:t>j</m:t>
                        </m:r>
                      </m:sub>
                    </m:sSub>
                  </m:e>
                </m:d>
              </m:e>
            </m:func>
          </m:e>
        </m:nary>
      </m:oMath>
      <w:r w:rsidRPr="00CC0F03">
        <w:rPr>
          <w:rFonts w:ascii="Cambria Math" w:hAnsi="Cambria Math" w:hint="eastAsia"/>
          <w:sz w:val="21"/>
        </w:rPr>
        <w:t>,</w:t>
      </w:r>
      <w:r w:rsidRPr="00CC0F03">
        <w:rPr>
          <w:rFonts w:ascii="Cambria Math" w:hAnsi="Cambria Math" w:hint="eastAsia"/>
          <w:sz w:val="21"/>
        </w:rPr>
        <w:tab/>
        <w:t>(26)</w:t>
      </w:r>
    </w:p>
    <w:p w14:paraId="08432A26" w14:textId="61C26FDE" w:rsidR="00EE56A9" w:rsidRPr="00CC0F03" w:rsidRDefault="00CC0F03" w:rsidP="00CC0F03">
      <w:pPr>
        <w:keepLines/>
        <w:tabs>
          <w:tab w:val="center" w:pos="4680"/>
          <w:tab w:val="right" w:pos="9360"/>
        </w:tabs>
        <w:spacing w:before="60" w:after="60"/>
        <w:rPr>
          <w:rFonts w:ascii="Cambria Math" w:hAnsi="Cambria Math"/>
          <w:sz w:val="21"/>
        </w:rPr>
      </w:pPr>
      <w:r w:rsidRPr="00CC0F03">
        <w:rPr>
          <w:rFonts w:ascii="Cambria Math" w:hAnsi="Cambria Math"/>
          <w:sz w:val="21"/>
        </w:rPr>
        <w:tab/>
      </w:r>
      <m:oMath>
        <m:sSub>
          <m:sSubPr>
            <m:ctrlPr>
              <w:rPr>
                <w:rFonts w:ascii="Cambria Math" w:hAnsi="Cambria Math"/>
                <w:i/>
                <w:sz w:val="21"/>
              </w:rPr>
            </m:ctrlPr>
          </m:sSubPr>
          <m:e>
            <m:r>
              <w:rPr>
                <w:rFonts w:ascii="Cambria Math" w:hAnsi="Cambria Math"/>
                <w:sz w:val="21"/>
              </w:rPr>
              <m:t>H</m:t>
            </m:r>
          </m:e>
          <m:sub>
            <m:r>
              <w:rPr>
                <w:rFonts w:ascii="Cambria Math" w:hAnsi="Cambria Math"/>
                <w:sz w:val="21"/>
              </w:rPr>
              <m:t>sel,norm</m:t>
            </m:r>
          </m:sub>
        </m:sSub>
        <m:r>
          <w:rPr>
            <w:rFonts w:ascii="Cambria Math" w:hAnsi="Cambria Math"/>
            <w:sz w:val="21"/>
          </w:rPr>
          <m:t>=</m:t>
        </m:r>
        <m:f>
          <m:fPr>
            <m:ctrlPr>
              <w:rPr>
                <w:rFonts w:ascii="Cambria Math" w:hAnsi="Cambria Math"/>
                <w:i/>
                <w:sz w:val="21"/>
              </w:rPr>
            </m:ctrlPr>
          </m:fPr>
          <m:num>
            <m:sSub>
              <m:sSubPr>
                <m:ctrlPr>
                  <w:rPr>
                    <w:rFonts w:ascii="Cambria Math" w:hAnsi="Cambria Math"/>
                    <w:i/>
                    <w:sz w:val="21"/>
                  </w:rPr>
                </m:ctrlPr>
              </m:sSubPr>
              <m:e>
                <m:r>
                  <w:rPr>
                    <w:rFonts w:ascii="Cambria Math" w:hAnsi="Cambria Math"/>
                    <w:sz w:val="21"/>
                  </w:rPr>
                  <m:t>H</m:t>
                </m:r>
              </m:e>
              <m:sub>
                <m:r>
                  <w:rPr>
                    <w:rFonts w:ascii="Cambria Math" w:hAnsi="Cambria Math"/>
                    <w:sz w:val="21"/>
                  </w:rPr>
                  <m:t>sel</m:t>
                </m:r>
              </m:sub>
            </m:sSub>
          </m:num>
          <m:den>
            <m:func>
              <m:funcPr>
                <m:ctrlPr>
                  <w:rPr>
                    <w:rFonts w:ascii="Cambria Math" w:hAnsi="Cambria Math"/>
                    <w:sz w:val="21"/>
                  </w:rPr>
                </m:ctrlPr>
              </m:funcPr>
              <m:fName>
                <m:r>
                  <m:rPr>
                    <m:sty m:val="p"/>
                  </m:rPr>
                  <w:rPr>
                    <w:rFonts w:ascii="Cambria Math" w:hAnsi="Cambria Math"/>
                    <w:sz w:val="21"/>
                  </w:rPr>
                  <m:t>ln</m:t>
                </m:r>
                <m:ctrlPr>
                  <w:rPr>
                    <w:rFonts w:ascii="Cambria Math" w:hAnsi="Cambria Math"/>
                    <w:i/>
                    <w:sz w:val="21"/>
                  </w:rPr>
                </m:ctrlPr>
              </m:fName>
              <m:e>
                <m:d>
                  <m:dPr>
                    <m:ctrlPr>
                      <w:rPr>
                        <w:rFonts w:ascii="Cambria Math" w:hAnsi="Cambria Math"/>
                        <w:i/>
                        <w:sz w:val="21"/>
                      </w:rPr>
                    </m:ctrlPr>
                  </m:dPr>
                  <m:e>
                    <m:r>
                      <w:rPr>
                        <w:rFonts w:ascii="Cambria Math" w:hAnsi="Cambria Math"/>
                        <w:sz w:val="21"/>
                      </w:rPr>
                      <m:t>K</m:t>
                    </m:r>
                  </m:e>
                </m:d>
              </m:e>
            </m:func>
          </m:den>
        </m:f>
      </m:oMath>
      <w:r w:rsidRPr="00CC0F03">
        <w:rPr>
          <w:rFonts w:ascii="Cambria Math" w:hAnsi="Cambria Math"/>
          <w:sz w:val="21"/>
        </w:rPr>
        <w:t>.</w:t>
      </w:r>
      <w:r w:rsidRPr="00CC0F03">
        <w:rPr>
          <w:rFonts w:ascii="Cambria Math" w:hAnsi="Cambria Math"/>
          <w:sz w:val="21"/>
        </w:rPr>
        <w:tab/>
        <w:t>(27)</w:t>
      </w:r>
    </w:p>
    <w:p w14:paraId="13B4A94E" w14:textId="77777777" w:rsidR="00EE56A9" w:rsidRDefault="00721CC4">
      <w:r>
        <w:t>数值稳定常数</w:t>
      </w:r>
      <w:r>
        <w:t xml:space="preserve"> epsilon </w:t>
      </w:r>
      <w:r>
        <w:t>取</w:t>
      </w:r>
      <w:r>
        <w:t xml:space="preserve"> 1e-12</w:t>
      </w:r>
      <w:r>
        <w:t>。</w:t>
      </w:r>
      <w:r>
        <w:t xml:space="preserve">Ledoit–Wolf </w:t>
      </w:r>
      <w:r>
        <w:t>收缩采用缩放单位阵目标及</w:t>
      </w:r>
      <w:r>
        <w:t xml:space="preserve"> scikit-learn </w:t>
      </w:r>
      <w:r>
        <w:t>的解析收缩系数估计；在特征分解前，将收缩协方差重新缩放为相关矩阵</w:t>
      </w:r>
      <w:r>
        <w:t xml:space="preserve"> R</w:t>
      </w:r>
      <w:r>
        <w:t>；仅因浮点误差产生的微小负特征值裁剪为</w:t>
      </w:r>
      <w:r>
        <w:t xml:space="preserve"> 0</w:t>
      </w:r>
      <w:r>
        <w:t>，并约定</w:t>
      </w:r>
      <w:r>
        <w:t xml:space="preserve"> 0 log 0 = 0</w:t>
      </w:r>
      <w:r>
        <w:t>。公式（</w:t>
      </w:r>
      <w:r>
        <w:t>22</w:t>
      </w:r>
      <w:r>
        <w:t>）和（</w:t>
      </w:r>
      <w:r>
        <w:t>24</w:t>
      </w:r>
      <w:r>
        <w:t>）先在配对外层审计单元内相除，再按折</w:t>
      </w:r>
      <w:r>
        <w:t>—</w:t>
      </w:r>
      <w:r>
        <w:t>种子</w:t>
      </w:r>
      <w:r>
        <w:t>—</w:t>
      </w:r>
      <w:r>
        <w:t>端点汇总；绝对分母不超过</w:t>
      </w:r>
      <w:r>
        <w:t xml:space="preserve"> epsilon </w:t>
      </w:r>
      <w:r>
        <w:t>的单元记为缺失并单独报告。</w:t>
      </w:r>
    </w:p>
    <w:p w14:paraId="14CFE357" w14:textId="77777777" w:rsidR="00EE56A9" w:rsidRDefault="00721CC4">
      <w:pPr>
        <w:pStyle w:val="21"/>
        <w:spacing w:line="360" w:lineRule="auto"/>
      </w:pPr>
      <w:r>
        <w:t xml:space="preserve">2.16 </w:t>
      </w:r>
      <w:r>
        <w:t>统计推断</w:t>
      </w:r>
    </w:p>
    <w:p w14:paraId="06513775" w14:textId="77777777" w:rsidR="00EE56A9" w:rsidRDefault="00721CC4">
      <w:pPr>
        <w:spacing w:after="0" w:line="360" w:lineRule="auto"/>
      </w:pPr>
      <w:r>
        <w:t>各终点的</w:t>
      </w:r>
      <w:r>
        <w:t>K=32</w:t>
      </w:r>
      <w:r>
        <w:t>减</w:t>
      </w:r>
      <w:r>
        <w:t>K=4</w:t>
      </w:r>
      <w:r>
        <w:t>效应先在每个不同划分</w:t>
      </w:r>
      <w:r>
        <w:t>seed</w:t>
      </w:r>
      <w:r>
        <w:t>内平均</w:t>
      </w:r>
      <w:r>
        <w:t>3</w:t>
      </w:r>
      <w:r>
        <w:t>个折，再对</w:t>
      </w:r>
      <w:r>
        <w:t>5</w:t>
      </w:r>
      <w:r>
        <w:t>个</w:t>
      </w:r>
      <w:r>
        <w:t>seed</w:t>
      </w:r>
      <w:r>
        <w:t>均值进行</w:t>
      </w:r>
      <w:r>
        <w:t>10,000</w:t>
      </w:r>
      <w:r>
        <w:t>次聚类</w:t>
      </w:r>
      <w:r>
        <w:t>bootstrap</w:t>
      </w:r>
      <w:r>
        <w:t>。分类</w:t>
      </w:r>
      <w:r>
        <w:t>ROC-AUC</w:t>
      </w:r>
      <w:r>
        <w:t>损失与回归</w:t>
      </w:r>
      <w:r>
        <w:t>RMSE</w:t>
      </w:r>
      <w:r>
        <w:t>损失构成按任务分层的共同主要证据；两者保留各自单位，不计算跨任务平均效应。排序指标、同一单元差距、有效多样性和等规模组成效应为关键互补证据。</w:t>
      </w:r>
      <w:r>
        <w:t>220</w:t>
      </w:r>
      <w:r>
        <w:t>个</w:t>
      </w:r>
      <w:r>
        <w:t>K=3</w:t>
      </w:r>
      <w:r>
        <w:t>子集结果是登记子集的分布，不视为</w:t>
      </w:r>
      <w:r>
        <w:t>220</w:t>
      </w:r>
      <w:r>
        <w:t>次独立实验。</w:t>
      </w:r>
    </w:p>
    <w:p w14:paraId="74C9357A" w14:textId="77777777" w:rsidR="00EE56A9" w:rsidRDefault="00721CC4">
      <w:pPr>
        <w:spacing w:after="0" w:line="360" w:lineRule="auto"/>
      </w:pPr>
      <w:r>
        <w:rPr>
          <w:b/>
        </w:rPr>
        <w:t>表</w:t>
      </w:r>
      <w:r>
        <w:rPr>
          <w:b/>
        </w:rPr>
        <w:t xml:space="preserve">1 </w:t>
      </w:r>
      <w:r>
        <w:rPr>
          <w:b/>
        </w:rPr>
        <w:t>主要终点与评价指标。单位：</w:t>
      </w:r>
      <w:r>
        <w:rPr>
          <w:b/>
        </w:rPr>
        <w:t>ESOL</w:t>
      </w:r>
      <w:r>
        <w:rPr>
          <w:b/>
        </w:rPr>
        <w:t>为</w:t>
      </w:r>
      <w:r>
        <w:rPr>
          <w:b/>
        </w:rPr>
        <w:t>log mol/L</w:t>
      </w:r>
      <w:r>
        <w:rPr>
          <w:b/>
        </w:rPr>
        <w:t>；</w:t>
      </w:r>
      <w:r>
        <w:rPr>
          <w:b/>
        </w:rPr>
        <w:t>FreeSolv</w:t>
      </w:r>
      <w:r>
        <w:rPr>
          <w:b/>
        </w:rPr>
        <w:t>为</w:t>
      </w:r>
      <w:r>
        <w:rPr>
          <w:b/>
        </w:rPr>
        <w:t>kcal/mol</w:t>
      </w:r>
      <w:r>
        <w:rPr>
          <w:b/>
        </w:rPr>
        <w:t>；</w:t>
      </w:r>
      <w:r>
        <w:rPr>
          <w:b/>
        </w:rPr>
        <w:t>Lipophilicity</w:t>
      </w:r>
      <w:r>
        <w:rPr>
          <w:b/>
        </w:rPr>
        <w:t>为实验</w:t>
      </w:r>
      <w:r>
        <w:rPr>
          <w:b/>
        </w:rPr>
        <w:t>logD</w:t>
      </w:r>
      <w:r>
        <w:rPr>
          <w:b/>
        </w:rPr>
        <w:t>；</w:t>
      </w:r>
      <w:r>
        <w:rPr>
          <w:b/>
        </w:rPr>
        <w:t>Caco2 Wang</w:t>
      </w:r>
      <w:r>
        <w:rPr>
          <w:b/>
        </w:rPr>
        <w:t>为数据集给定对数渗透性量纲。分类终点报告阳性类别</w:t>
      </w:r>
      <w:r>
        <w:rPr>
          <w:b/>
        </w:rPr>
        <w:t>n</w:t>
      </w:r>
      <w:r>
        <w:rPr>
          <w:b/>
        </w:rPr>
        <w:t>（</w:t>
      </w:r>
      <w:r>
        <w:rPr>
          <w:b/>
        </w:rPr>
        <w:t>%</w:t>
      </w:r>
      <w:r>
        <w:rPr>
          <w:b/>
        </w:rPr>
        <w:t>）。</w:t>
      </w:r>
    </w:p>
    <w:p w14:paraId="66158F71" w14:textId="77777777" w:rsidR="00EE56A9" w:rsidRDefault="00721CC4">
      <w:pPr>
        <w:keepNext/>
      </w:pPr>
      <w:r>
        <w:rPr>
          <w:rFonts w:eastAsia="Times New Roman"/>
          <w:b/>
          <w:sz w:val="18"/>
        </w:rPr>
        <w:t>表1. 主要数据集与终点指标。</w:t>
      </w:r>
    </w:p>
    <w:tbl>
      <w:tblPr>
        <w:tblStyle w:val="aff1"/>
        <w:tblW w:w="0" w:type="auto"/>
        <w:jc w:val="center"/>
        <w:tblLayout w:type="fixed"/>
        <w:tblLook w:val="04A0" w:firstRow="1" w:lastRow="0" w:firstColumn="1" w:lastColumn="0" w:noHBand="0" w:noVBand="1"/>
      </w:tblPr>
      <w:tblGrid>
        <w:gridCol w:w="2149"/>
        <w:gridCol w:w="1077"/>
        <w:gridCol w:w="4122"/>
        <w:gridCol w:w="1610"/>
      </w:tblGrid>
      <w:tr w:rsidR="00EE56A9" w14:paraId="142F0269" w14:textId="77777777">
        <w:trPr>
          <w:cantSplit/>
          <w:jc w:val="center"/>
        </w:trPr>
        <w:tc>
          <w:tcPr>
            <w:tcW w:w="2149" w:type="dxa"/>
            <w:vAlign w:val="center"/>
          </w:tcPr>
          <w:p w14:paraId="642CC148" w14:textId="77777777" w:rsidR="00EE56A9" w:rsidRDefault="00721CC4">
            <w:pPr>
              <w:keepLines/>
              <w:jc w:val="center"/>
            </w:pPr>
            <w:r>
              <w:rPr>
                <w:rFonts w:eastAsia="Times New Roman"/>
                <w:b/>
                <w:sz w:val="17"/>
              </w:rPr>
              <w:t>终点</w:t>
            </w:r>
          </w:p>
        </w:tc>
        <w:tc>
          <w:tcPr>
            <w:tcW w:w="1077" w:type="dxa"/>
            <w:vAlign w:val="center"/>
          </w:tcPr>
          <w:p w14:paraId="23FFE231" w14:textId="77777777" w:rsidR="00EE56A9" w:rsidRDefault="00721CC4">
            <w:pPr>
              <w:keepLines/>
              <w:jc w:val="center"/>
            </w:pPr>
            <w:r>
              <w:rPr>
                <w:rFonts w:eastAsia="Times New Roman"/>
                <w:b/>
                <w:sz w:val="17"/>
              </w:rPr>
              <w:t>n</w:t>
            </w:r>
          </w:p>
        </w:tc>
        <w:tc>
          <w:tcPr>
            <w:tcW w:w="4122" w:type="dxa"/>
            <w:vAlign w:val="center"/>
          </w:tcPr>
          <w:p w14:paraId="2A952F05" w14:textId="77777777" w:rsidR="00EE56A9" w:rsidRDefault="00721CC4">
            <w:pPr>
              <w:keepLines/>
              <w:jc w:val="center"/>
            </w:pPr>
            <w:r>
              <w:rPr>
                <w:rFonts w:eastAsia="Times New Roman"/>
                <w:b/>
                <w:sz w:val="17"/>
              </w:rPr>
              <w:t>类别平衡/目标范围</w:t>
            </w:r>
          </w:p>
        </w:tc>
        <w:tc>
          <w:tcPr>
            <w:tcW w:w="1610" w:type="dxa"/>
            <w:vAlign w:val="center"/>
          </w:tcPr>
          <w:p w14:paraId="383995A7" w14:textId="77777777" w:rsidR="00EE56A9" w:rsidRDefault="00721CC4">
            <w:pPr>
              <w:keepLines/>
              <w:jc w:val="center"/>
            </w:pPr>
            <w:r>
              <w:rPr>
                <w:rFonts w:eastAsia="Times New Roman"/>
                <w:b/>
                <w:sz w:val="17"/>
              </w:rPr>
              <w:t>指标</w:t>
            </w:r>
          </w:p>
        </w:tc>
      </w:tr>
      <w:tr w:rsidR="00EE56A9" w14:paraId="7F22F54E" w14:textId="77777777">
        <w:trPr>
          <w:cantSplit/>
          <w:jc w:val="center"/>
        </w:trPr>
        <w:tc>
          <w:tcPr>
            <w:tcW w:w="2149" w:type="dxa"/>
            <w:vAlign w:val="center"/>
          </w:tcPr>
          <w:p w14:paraId="6A7C2858" w14:textId="77777777" w:rsidR="00EE56A9" w:rsidRDefault="00721CC4">
            <w:pPr>
              <w:keepLines/>
            </w:pPr>
            <w:r>
              <w:rPr>
                <w:rFonts w:eastAsia="Times New Roman"/>
                <w:sz w:val="17"/>
              </w:rPr>
              <w:t>ESOL</w:t>
            </w:r>
          </w:p>
        </w:tc>
        <w:tc>
          <w:tcPr>
            <w:tcW w:w="1077" w:type="dxa"/>
            <w:vAlign w:val="center"/>
          </w:tcPr>
          <w:p w14:paraId="3824ACA2" w14:textId="77777777" w:rsidR="00EE56A9" w:rsidRDefault="00721CC4">
            <w:pPr>
              <w:keepLines/>
            </w:pPr>
            <w:r>
              <w:rPr>
                <w:rFonts w:eastAsia="Times New Roman"/>
                <w:sz w:val="17"/>
              </w:rPr>
              <w:t>1117</w:t>
            </w:r>
          </w:p>
        </w:tc>
        <w:tc>
          <w:tcPr>
            <w:tcW w:w="4122" w:type="dxa"/>
            <w:vAlign w:val="center"/>
          </w:tcPr>
          <w:p w14:paraId="71FF9592" w14:textId="77777777" w:rsidR="00EE56A9" w:rsidRDefault="00721CC4">
            <w:pPr>
              <w:keepLines/>
            </w:pPr>
            <w:r>
              <w:rPr>
                <w:rFonts w:eastAsia="Times New Roman"/>
                <w:sz w:val="17"/>
              </w:rPr>
              <w:t>-11.60 to 1.58</w:t>
            </w:r>
          </w:p>
        </w:tc>
        <w:tc>
          <w:tcPr>
            <w:tcW w:w="1610" w:type="dxa"/>
            <w:vAlign w:val="center"/>
          </w:tcPr>
          <w:p w14:paraId="7519F041" w14:textId="77777777" w:rsidR="00EE56A9" w:rsidRDefault="00721CC4">
            <w:pPr>
              <w:keepLines/>
            </w:pPr>
            <w:r>
              <w:rPr>
                <w:rFonts w:eastAsia="Times New Roman"/>
                <w:sz w:val="17"/>
              </w:rPr>
              <w:t>RMSE</w:t>
            </w:r>
          </w:p>
        </w:tc>
      </w:tr>
      <w:tr w:rsidR="00EE56A9" w14:paraId="2C8B4F9A" w14:textId="77777777">
        <w:trPr>
          <w:cantSplit/>
          <w:jc w:val="center"/>
        </w:trPr>
        <w:tc>
          <w:tcPr>
            <w:tcW w:w="2149" w:type="dxa"/>
            <w:vAlign w:val="center"/>
          </w:tcPr>
          <w:p w14:paraId="7B29AFBD" w14:textId="77777777" w:rsidR="00EE56A9" w:rsidRDefault="00721CC4">
            <w:pPr>
              <w:keepLines/>
            </w:pPr>
            <w:r>
              <w:rPr>
                <w:rFonts w:eastAsia="Times New Roman"/>
                <w:sz w:val="17"/>
              </w:rPr>
              <w:t>FreeSolv</w:t>
            </w:r>
          </w:p>
        </w:tc>
        <w:tc>
          <w:tcPr>
            <w:tcW w:w="1077" w:type="dxa"/>
            <w:vAlign w:val="center"/>
          </w:tcPr>
          <w:p w14:paraId="0947CFFD" w14:textId="77777777" w:rsidR="00EE56A9" w:rsidRDefault="00721CC4">
            <w:pPr>
              <w:keepLines/>
            </w:pPr>
            <w:r>
              <w:rPr>
                <w:rFonts w:eastAsia="Times New Roman"/>
                <w:sz w:val="17"/>
              </w:rPr>
              <w:t>642</w:t>
            </w:r>
          </w:p>
        </w:tc>
        <w:tc>
          <w:tcPr>
            <w:tcW w:w="4122" w:type="dxa"/>
            <w:vAlign w:val="center"/>
          </w:tcPr>
          <w:p w14:paraId="2302C6CC" w14:textId="77777777" w:rsidR="00EE56A9" w:rsidRDefault="00721CC4">
            <w:pPr>
              <w:keepLines/>
            </w:pPr>
            <w:r>
              <w:rPr>
                <w:rFonts w:eastAsia="Times New Roman"/>
                <w:sz w:val="17"/>
              </w:rPr>
              <w:t>-25.47 to 3.43</w:t>
            </w:r>
          </w:p>
        </w:tc>
        <w:tc>
          <w:tcPr>
            <w:tcW w:w="1610" w:type="dxa"/>
            <w:vAlign w:val="center"/>
          </w:tcPr>
          <w:p w14:paraId="3C914831" w14:textId="77777777" w:rsidR="00EE56A9" w:rsidRDefault="00721CC4">
            <w:pPr>
              <w:keepLines/>
            </w:pPr>
            <w:r>
              <w:rPr>
                <w:rFonts w:eastAsia="Times New Roman"/>
                <w:sz w:val="17"/>
              </w:rPr>
              <w:t>RMSE</w:t>
            </w:r>
          </w:p>
        </w:tc>
      </w:tr>
      <w:tr w:rsidR="00EE56A9" w14:paraId="0A69C66A" w14:textId="77777777">
        <w:trPr>
          <w:cantSplit/>
          <w:jc w:val="center"/>
        </w:trPr>
        <w:tc>
          <w:tcPr>
            <w:tcW w:w="2149" w:type="dxa"/>
            <w:vAlign w:val="center"/>
          </w:tcPr>
          <w:p w14:paraId="77798B94" w14:textId="77777777" w:rsidR="00EE56A9" w:rsidRDefault="00721CC4">
            <w:pPr>
              <w:keepLines/>
            </w:pPr>
            <w:r>
              <w:rPr>
                <w:rFonts w:eastAsia="Times New Roman"/>
                <w:sz w:val="17"/>
              </w:rPr>
              <w:t>Lipophilicity</w:t>
            </w:r>
          </w:p>
        </w:tc>
        <w:tc>
          <w:tcPr>
            <w:tcW w:w="1077" w:type="dxa"/>
            <w:vAlign w:val="center"/>
          </w:tcPr>
          <w:p w14:paraId="0CEC954B" w14:textId="77777777" w:rsidR="00EE56A9" w:rsidRDefault="00721CC4">
            <w:pPr>
              <w:keepLines/>
            </w:pPr>
            <w:r>
              <w:rPr>
                <w:rFonts w:eastAsia="Times New Roman"/>
                <w:sz w:val="17"/>
              </w:rPr>
              <w:t>4200</w:t>
            </w:r>
          </w:p>
        </w:tc>
        <w:tc>
          <w:tcPr>
            <w:tcW w:w="4122" w:type="dxa"/>
            <w:vAlign w:val="center"/>
          </w:tcPr>
          <w:p w14:paraId="6B2820B5" w14:textId="77777777" w:rsidR="00EE56A9" w:rsidRDefault="00721CC4">
            <w:pPr>
              <w:keepLines/>
            </w:pPr>
            <w:r>
              <w:rPr>
                <w:rFonts w:eastAsia="Times New Roman"/>
                <w:sz w:val="17"/>
              </w:rPr>
              <w:t>-1.50 to 4.50</w:t>
            </w:r>
          </w:p>
        </w:tc>
        <w:tc>
          <w:tcPr>
            <w:tcW w:w="1610" w:type="dxa"/>
            <w:vAlign w:val="center"/>
          </w:tcPr>
          <w:p w14:paraId="7D7B9E03" w14:textId="77777777" w:rsidR="00EE56A9" w:rsidRDefault="00721CC4">
            <w:pPr>
              <w:keepLines/>
            </w:pPr>
            <w:r>
              <w:rPr>
                <w:rFonts w:eastAsia="Times New Roman"/>
                <w:sz w:val="17"/>
              </w:rPr>
              <w:t>RMSE</w:t>
            </w:r>
          </w:p>
        </w:tc>
      </w:tr>
      <w:tr w:rsidR="00EE56A9" w14:paraId="3ADE2E63" w14:textId="77777777">
        <w:trPr>
          <w:cantSplit/>
          <w:jc w:val="center"/>
        </w:trPr>
        <w:tc>
          <w:tcPr>
            <w:tcW w:w="2149" w:type="dxa"/>
            <w:vAlign w:val="center"/>
          </w:tcPr>
          <w:p w14:paraId="16ED8496" w14:textId="77777777" w:rsidR="00EE56A9" w:rsidRDefault="00721CC4">
            <w:pPr>
              <w:keepLines/>
            </w:pPr>
            <w:r>
              <w:rPr>
                <w:rFonts w:eastAsia="Times New Roman"/>
                <w:sz w:val="17"/>
              </w:rPr>
              <w:t>BBBP</w:t>
            </w:r>
          </w:p>
        </w:tc>
        <w:tc>
          <w:tcPr>
            <w:tcW w:w="1077" w:type="dxa"/>
            <w:vAlign w:val="center"/>
          </w:tcPr>
          <w:p w14:paraId="31042B2F" w14:textId="77777777" w:rsidR="00EE56A9" w:rsidRDefault="00721CC4">
            <w:pPr>
              <w:keepLines/>
            </w:pPr>
            <w:r>
              <w:rPr>
                <w:rFonts w:eastAsia="Times New Roman"/>
                <w:sz w:val="17"/>
              </w:rPr>
              <w:t>1955</w:t>
            </w:r>
          </w:p>
        </w:tc>
        <w:tc>
          <w:tcPr>
            <w:tcW w:w="4122" w:type="dxa"/>
            <w:vAlign w:val="center"/>
          </w:tcPr>
          <w:p w14:paraId="07F988DD" w14:textId="77777777" w:rsidR="00EE56A9" w:rsidRDefault="00721CC4">
            <w:pPr>
              <w:keepLines/>
            </w:pPr>
            <w:r>
              <w:rPr>
                <w:rFonts w:eastAsia="Times New Roman"/>
                <w:sz w:val="17"/>
              </w:rPr>
              <w:t>1494 positive (76.4%)</w:t>
            </w:r>
          </w:p>
        </w:tc>
        <w:tc>
          <w:tcPr>
            <w:tcW w:w="1610" w:type="dxa"/>
            <w:vAlign w:val="center"/>
          </w:tcPr>
          <w:p w14:paraId="0B043126" w14:textId="77777777" w:rsidR="00EE56A9" w:rsidRDefault="00721CC4">
            <w:pPr>
              <w:keepLines/>
            </w:pPr>
            <w:r>
              <w:rPr>
                <w:rFonts w:eastAsia="Times New Roman"/>
                <w:sz w:val="17"/>
              </w:rPr>
              <w:t>ROC-AUC</w:t>
            </w:r>
          </w:p>
        </w:tc>
      </w:tr>
      <w:tr w:rsidR="00EE56A9" w14:paraId="386E346B" w14:textId="77777777">
        <w:trPr>
          <w:cantSplit/>
          <w:jc w:val="center"/>
        </w:trPr>
        <w:tc>
          <w:tcPr>
            <w:tcW w:w="2149" w:type="dxa"/>
            <w:vAlign w:val="center"/>
          </w:tcPr>
          <w:p w14:paraId="78A64C8D" w14:textId="77777777" w:rsidR="00EE56A9" w:rsidRDefault="00721CC4">
            <w:pPr>
              <w:keepLines/>
            </w:pPr>
            <w:r>
              <w:rPr>
                <w:rFonts w:eastAsia="Times New Roman"/>
                <w:sz w:val="17"/>
              </w:rPr>
              <w:t>BACE</w:t>
            </w:r>
          </w:p>
        </w:tc>
        <w:tc>
          <w:tcPr>
            <w:tcW w:w="1077" w:type="dxa"/>
            <w:vAlign w:val="center"/>
          </w:tcPr>
          <w:p w14:paraId="1ED3AD18" w14:textId="77777777" w:rsidR="00EE56A9" w:rsidRDefault="00721CC4">
            <w:pPr>
              <w:keepLines/>
            </w:pPr>
            <w:r>
              <w:rPr>
                <w:rFonts w:eastAsia="Times New Roman"/>
                <w:sz w:val="17"/>
              </w:rPr>
              <w:t>1512</w:t>
            </w:r>
          </w:p>
        </w:tc>
        <w:tc>
          <w:tcPr>
            <w:tcW w:w="4122" w:type="dxa"/>
            <w:vAlign w:val="center"/>
          </w:tcPr>
          <w:p w14:paraId="39A42C8A" w14:textId="77777777" w:rsidR="00EE56A9" w:rsidRDefault="00721CC4">
            <w:pPr>
              <w:keepLines/>
            </w:pPr>
            <w:r>
              <w:rPr>
                <w:rFonts w:eastAsia="Times New Roman"/>
                <w:sz w:val="17"/>
              </w:rPr>
              <w:t>690 positive (45.6%)</w:t>
            </w:r>
          </w:p>
        </w:tc>
        <w:tc>
          <w:tcPr>
            <w:tcW w:w="1610" w:type="dxa"/>
            <w:vAlign w:val="center"/>
          </w:tcPr>
          <w:p w14:paraId="6A4D7429" w14:textId="77777777" w:rsidR="00EE56A9" w:rsidRDefault="00721CC4">
            <w:pPr>
              <w:keepLines/>
            </w:pPr>
            <w:r>
              <w:rPr>
                <w:rFonts w:eastAsia="Times New Roman"/>
                <w:sz w:val="17"/>
              </w:rPr>
              <w:t>ROC-AUC</w:t>
            </w:r>
          </w:p>
        </w:tc>
      </w:tr>
      <w:tr w:rsidR="00EE56A9" w14:paraId="012844DE" w14:textId="77777777">
        <w:trPr>
          <w:cantSplit/>
          <w:jc w:val="center"/>
        </w:trPr>
        <w:tc>
          <w:tcPr>
            <w:tcW w:w="2149" w:type="dxa"/>
            <w:vAlign w:val="center"/>
          </w:tcPr>
          <w:p w14:paraId="76DDB972" w14:textId="77777777" w:rsidR="00EE56A9" w:rsidRDefault="00721CC4">
            <w:pPr>
              <w:keepLines/>
            </w:pPr>
            <w:r>
              <w:rPr>
                <w:rFonts w:eastAsia="Times New Roman"/>
                <w:sz w:val="17"/>
              </w:rPr>
              <w:t>ClinTox</w:t>
            </w:r>
          </w:p>
        </w:tc>
        <w:tc>
          <w:tcPr>
            <w:tcW w:w="1077" w:type="dxa"/>
            <w:vAlign w:val="center"/>
          </w:tcPr>
          <w:p w14:paraId="33203CAE" w14:textId="77777777" w:rsidR="00EE56A9" w:rsidRDefault="00721CC4">
            <w:pPr>
              <w:keepLines/>
            </w:pPr>
            <w:r>
              <w:rPr>
                <w:rFonts w:eastAsia="Times New Roman"/>
                <w:sz w:val="17"/>
              </w:rPr>
              <w:t>1376</w:t>
            </w:r>
          </w:p>
        </w:tc>
        <w:tc>
          <w:tcPr>
            <w:tcW w:w="4122" w:type="dxa"/>
            <w:vAlign w:val="center"/>
          </w:tcPr>
          <w:p w14:paraId="76C4B932" w14:textId="77777777" w:rsidR="00EE56A9" w:rsidRDefault="00721CC4">
            <w:pPr>
              <w:keepLines/>
            </w:pPr>
            <w:r>
              <w:rPr>
                <w:rFonts w:eastAsia="Times New Roman"/>
                <w:sz w:val="17"/>
              </w:rPr>
              <w:t>58 positive (4.2%)</w:t>
            </w:r>
          </w:p>
        </w:tc>
        <w:tc>
          <w:tcPr>
            <w:tcW w:w="1610" w:type="dxa"/>
            <w:vAlign w:val="center"/>
          </w:tcPr>
          <w:p w14:paraId="7401B922" w14:textId="77777777" w:rsidR="00EE56A9" w:rsidRDefault="00721CC4">
            <w:pPr>
              <w:keepLines/>
            </w:pPr>
            <w:r>
              <w:rPr>
                <w:rFonts w:eastAsia="Times New Roman"/>
                <w:sz w:val="17"/>
              </w:rPr>
              <w:t>ROC-AUC</w:t>
            </w:r>
          </w:p>
        </w:tc>
      </w:tr>
      <w:tr w:rsidR="00EE56A9" w14:paraId="213495A6" w14:textId="77777777">
        <w:trPr>
          <w:cantSplit/>
          <w:jc w:val="center"/>
        </w:trPr>
        <w:tc>
          <w:tcPr>
            <w:tcW w:w="2149" w:type="dxa"/>
            <w:vAlign w:val="center"/>
          </w:tcPr>
          <w:p w14:paraId="00E6A157" w14:textId="77777777" w:rsidR="00EE56A9" w:rsidRDefault="00721CC4">
            <w:pPr>
              <w:keepLines/>
            </w:pPr>
            <w:r>
              <w:rPr>
                <w:rFonts w:eastAsia="Times New Roman"/>
                <w:sz w:val="17"/>
              </w:rPr>
              <w:t>Caco2 Wang</w:t>
            </w:r>
          </w:p>
        </w:tc>
        <w:tc>
          <w:tcPr>
            <w:tcW w:w="1077" w:type="dxa"/>
            <w:vAlign w:val="center"/>
          </w:tcPr>
          <w:p w14:paraId="2AC82BEC" w14:textId="77777777" w:rsidR="00EE56A9" w:rsidRDefault="00721CC4">
            <w:pPr>
              <w:keepLines/>
            </w:pPr>
            <w:r>
              <w:rPr>
                <w:rFonts w:eastAsia="Times New Roman"/>
                <w:sz w:val="17"/>
              </w:rPr>
              <w:t>904</w:t>
            </w:r>
          </w:p>
        </w:tc>
        <w:tc>
          <w:tcPr>
            <w:tcW w:w="4122" w:type="dxa"/>
            <w:vAlign w:val="center"/>
          </w:tcPr>
          <w:p w14:paraId="5C49CD3E" w14:textId="77777777" w:rsidR="00EE56A9" w:rsidRDefault="00721CC4">
            <w:pPr>
              <w:keepLines/>
            </w:pPr>
            <w:r>
              <w:rPr>
                <w:rFonts w:eastAsia="Times New Roman"/>
                <w:sz w:val="17"/>
              </w:rPr>
              <w:t>-7.76 to -3.51</w:t>
            </w:r>
          </w:p>
        </w:tc>
        <w:tc>
          <w:tcPr>
            <w:tcW w:w="1610" w:type="dxa"/>
            <w:vAlign w:val="center"/>
          </w:tcPr>
          <w:p w14:paraId="1653A02D" w14:textId="77777777" w:rsidR="00EE56A9" w:rsidRDefault="00721CC4">
            <w:pPr>
              <w:keepLines/>
            </w:pPr>
            <w:r>
              <w:rPr>
                <w:rFonts w:eastAsia="Times New Roman"/>
                <w:sz w:val="17"/>
              </w:rPr>
              <w:t>RMSE</w:t>
            </w:r>
          </w:p>
        </w:tc>
      </w:tr>
      <w:tr w:rsidR="00EE56A9" w14:paraId="52E73D92" w14:textId="77777777">
        <w:trPr>
          <w:cantSplit/>
          <w:jc w:val="center"/>
        </w:trPr>
        <w:tc>
          <w:tcPr>
            <w:tcW w:w="2149" w:type="dxa"/>
            <w:vAlign w:val="center"/>
          </w:tcPr>
          <w:p w14:paraId="795DB6BA" w14:textId="77777777" w:rsidR="00EE56A9" w:rsidRDefault="00721CC4">
            <w:pPr>
              <w:keepLines/>
            </w:pPr>
            <w:r>
              <w:rPr>
                <w:rFonts w:eastAsia="Times New Roman"/>
                <w:sz w:val="17"/>
              </w:rPr>
              <w:t>HIA Hou</w:t>
            </w:r>
          </w:p>
        </w:tc>
        <w:tc>
          <w:tcPr>
            <w:tcW w:w="1077" w:type="dxa"/>
            <w:vAlign w:val="center"/>
          </w:tcPr>
          <w:p w14:paraId="1B37EAF8" w14:textId="77777777" w:rsidR="00EE56A9" w:rsidRDefault="00721CC4">
            <w:pPr>
              <w:keepLines/>
            </w:pPr>
            <w:r>
              <w:rPr>
                <w:rFonts w:eastAsia="Times New Roman"/>
                <w:sz w:val="17"/>
              </w:rPr>
              <w:t>578</w:t>
            </w:r>
          </w:p>
        </w:tc>
        <w:tc>
          <w:tcPr>
            <w:tcW w:w="4122" w:type="dxa"/>
            <w:vAlign w:val="center"/>
          </w:tcPr>
          <w:p w14:paraId="4B3DE710" w14:textId="77777777" w:rsidR="00EE56A9" w:rsidRDefault="00721CC4">
            <w:pPr>
              <w:keepLines/>
            </w:pPr>
            <w:r>
              <w:rPr>
                <w:rFonts w:eastAsia="Times New Roman"/>
                <w:sz w:val="17"/>
              </w:rPr>
              <w:t>500 positive (86.5%)</w:t>
            </w:r>
          </w:p>
        </w:tc>
        <w:tc>
          <w:tcPr>
            <w:tcW w:w="1610" w:type="dxa"/>
            <w:vAlign w:val="center"/>
          </w:tcPr>
          <w:p w14:paraId="20D628C8" w14:textId="77777777" w:rsidR="00EE56A9" w:rsidRDefault="00721CC4">
            <w:pPr>
              <w:keepLines/>
            </w:pPr>
            <w:r>
              <w:rPr>
                <w:rFonts w:eastAsia="Times New Roman"/>
                <w:sz w:val="17"/>
              </w:rPr>
              <w:t>ROC-AUC</w:t>
            </w:r>
          </w:p>
        </w:tc>
      </w:tr>
      <w:tr w:rsidR="00EE56A9" w14:paraId="1B26DE70" w14:textId="77777777">
        <w:trPr>
          <w:cantSplit/>
          <w:jc w:val="center"/>
        </w:trPr>
        <w:tc>
          <w:tcPr>
            <w:tcW w:w="2149" w:type="dxa"/>
            <w:vAlign w:val="center"/>
          </w:tcPr>
          <w:p w14:paraId="0C31FDBB" w14:textId="77777777" w:rsidR="00EE56A9" w:rsidRDefault="00721CC4">
            <w:pPr>
              <w:keepLines/>
            </w:pPr>
            <w:r>
              <w:rPr>
                <w:rFonts w:eastAsia="Times New Roman"/>
                <w:sz w:val="17"/>
              </w:rPr>
              <w:t>P-gp Broccatelli</w:t>
            </w:r>
          </w:p>
        </w:tc>
        <w:tc>
          <w:tcPr>
            <w:tcW w:w="1077" w:type="dxa"/>
            <w:vAlign w:val="center"/>
          </w:tcPr>
          <w:p w14:paraId="74DFB3CA" w14:textId="77777777" w:rsidR="00EE56A9" w:rsidRDefault="00721CC4">
            <w:pPr>
              <w:keepLines/>
            </w:pPr>
            <w:r>
              <w:rPr>
                <w:rFonts w:eastAsia="Times New Roman"/>
                <w:sz w:val="17"/>
              </w:rPr>
              <w:t>1212</w:t>
            </w:r>
          </w:p>
        </w:tc>
        <w:tc>
          <w:tcPr>
            <w:tcW w:w="4122" w:type="dxa"/>
            <w:vAlign w:val="center"/>
          </w:tcPr>
          <w:p w14:paraId="450149D0" w14:textId="77777777" w:rsidR="00EE56A9" w:rsidRDefault="00721CC4">
            <w:pPr>
              <w:keepLines/>
            </w:pPr>
            <w:r>
              <w:rPr>
                <w:rFonts w:eastAsia="Times New Roman"/>
                <w:sz w:val="17"/>
              </w:rPr>
              <w:t>647 positive (53.4%)</w:t>
            </w:r>
          </w:p>
        </w:tc>
        <w:tc>
          <w:tcPr>
            <w:tcW w:w="1610" w:type="dxa"/>
            <w:vAlign w:val="center"/>
          </w:tcPr>
          <w:p w14:paraId="5D798D19" w14:textId="77777777" w:rsidR="00EE56A9" w:rsidRDefault="00721CC4">
            <w:pPr>
              <w:keepLines/>
            </w:pPr>
            <w:r>
              <w:rPr>
                <w:rFonts w:eastAsia="Times New Roman"/>
                <w:sz w:val="17"/>
              </w:rPr>
              <w:t>ROC-AUC</w:t>
            </w:r>
          </w:p>
        </w:tc>
      </w:tr>
    </w:tbl>
    <w:p w14:paraId="3D3026CF" w14:textId="77777777" w:rsidR="00EE56A9" w:rsidRDefault="00721CC4">
      <w:pPr>
        <w:keepLines/>
      </w:pPr>
      <w:r>
        <w:rPr>
          <w:rFonts w:eastAsia="Times New Roman"/>
          <w:i/>
          <w:sz w:val="17"/>
        </w:rPr>
        <w:lastRenderedPageBreak/>
        <w:t>目标单位：ESOL，log mol/L；FreeSolv，kcal/mol；Lipophilicity，logD；Caco2 Wang，数据集提供的渗透性尺度。分类行报告阳性类别n（%）。</w:t>
      </w:r>
    </w:p>
    <w:p w14:paraId="7B4DAEE8" w14:textId="77777777" w:rsidR="00EE56A9" w:rsidRDefault="00721CC4">
      <w:pPr>
        <w:spacing w:after="0" w:line="360" w:lineRule="auto"/>
      </w:pPr>
      <w:r>
        <w:rPr>
          <w:b/>
        </w:rPr>
        <w:t>表</w:t>
      </w:r>
      <w:r>
        <w:rPr>
          <w:b/>
        </w:rPr>
        <w:t xml:space="preserve">2 </w:t>
      </w:r>
      <w:r>
        <w:rPr>
          <w:b/>
        </w:rPr>
        <w:t>审计组成与计算暴露</w:t>
      </w:r>
    </w:p>
    <w:p w14:paraId="6E3C0712" w14:textId="77777777" w:rsidR="00EE56A9" w:rsidRDefault="00721CC4">
      <w:pPr>
        <w:keepNext/>
      </w:pPr>
      <w:r>
        <w:rPr>
          <w:rFonts w:eastAsia="Times New Roman"/>
          <w:b/>
          <w:sz w:val="18"/>
        </w:rPr>
        <w:t>表2. 审计组成与记录的计算暴露。</w:t>
      </w:r>
    </w:p>
    <w:tbl>
      <w:tblPr>
        <w:tblStyle w:val="aff1"/>
        <w:tblW w:w="0" w:type="auto"/>
        <w:jc w:val="center"/>
        <w:tblLayout w:type="fixed"/>
        <w:tblLook w:val="04A0" w:firstRow="1" w:lastRow="0" w:firstColumn="1" w:lastColumn="0" w:noHBand="0" w:noVBand="1"/>
      </w:tblPr>
      <w:tblGrid>
        <w:gridCol w:w="2149"/>
        <w:gridCol w:w="1791"/>
        <w:gridCol w:w="3044"/>
        <w:gridCol w:w="1973"/>
      </w:tblGrid>
      <w:tr w:rsidR="00EE56A9" w14:paraId="4026F9A8" w14:textId="77777777">
        <w:trPr>
          <w:cantSplit/>
          <w:jc w:val="center"/>
        </w:trPr>
        <w:tc>
          <w:tcPr>
            <w:tcW w:w="2149" w:type="dxa"/>
            <w:vAlign w:val="center"/>
          </w:tcPr>
          <w:p w14:paraId="0FE82312" w14:textId="77777777" w:rsidR="00EE56A9" w:rsidRDefault="00721CC4">
            <w:pPr>
              <w:keepLines/>
              <w:jc w:val="center"/>
            </w:pPr>
            <w:r>
              <w:rPr>
                <w:rFonts w:eastAsia="Times New Roman"/>
                <w:b/>
                <w:sz w:val="17"/>
              </w:rPr>
              <w:t>审计组成</w:t>
            </w:r>
          </w:p>
        </w:tc>
        <w:tc>
          <w:tcPr>
            <w:tcW w:w="1791" w:type="dxa"/>
            <w:vAlign w:val="center"/>
          </w:tcPr>
          <w:p w14:paraId="579621CF" w14:textId="77777777" w:rsidR="00EE56A9" w:rsidRDefault="00721CC4">
            <w:pPr>
              <w:keepLines/>
              <w:jc w:val="center"/>
            </w:pPr>
            <w:r>
              <w:rPr>
                <w:rFonts w:eastAsia="Times New Roman"/>
                <w:b/>
                <w:sz w:val="17"/>
              </w:rPr>
              <w:t>候选登记表</w:t>
            </w:r>
          </w:p>
        </w:tc>
        <w:tc>
          <w:tcPr>
            <w:tcW w:w="3044" w:type="dxa"/>
            <w:vAlign w:val="center"/>
          </w:tcPr>
          <w:p w14:paraId="359BEBD9" w14:textId="77777777" w:rsidR="00EE56A9" w:rsidRDefault="00721CC4">
            <w:pPr>
              <w:keepLines/>
              <w:jc w:val="center"/>
            </w:pPr>
            <w:r>
              <w:rPr>
                <w:rFonts w:eastAsia="Times New Roman"/>
                <w:b/>
                <w:sz w:val="17"/>
              </w:rPr>
              <w:t>评估设计</w:t>
            </w:r>
          </w:p>
        </w:tc>
        <w:tc>
          <w:tcPr>
            <w:tcW w:w="1973" w:type="dxa"/>
            <w:vAlign w:val="center"/>
          </w:tcPr>
          <w:p w14:paraId="39B3C205" w14:textId="77777777" w:rsidR="00EE56A9" w:rsidRDefault="00721CC4">
            <w:pPr>
              <w:keepLines/>
              <w:jc w:val="center"/>
            </w:pPr>
            <w:r>
              <w:rPr>
                <w:rFonts w:eastAsia="Times New Roman"/>
                <w:b/>
                <w:sz w:val="17"/>
              </w:rPr>
              <w:t>记录的暴露</w:t>
            </w:r>
          </w:p>
        </w:tc>
      </w:tr>
      <w:tr w:rsidR="00EE56A9" w14:paraId="558BD700" w14:textId="77777777">
        <w:trPr>
          <w:cantSplit/>
          <w:jc w:val="center"/>
        </w:trPr>
        <w:tc>
          <w:tcPr>
            <w:tcW w:w="2149" w:type="dxa"/>
            <w:vAlign w:val="center"/>
          </w:tcPr>
          <w:p w14:paraId="32447295" w14:textId="77777777" w:rsidR="00EE56A9" w:rsidRDefault="00721CC4">
            <w:pPr>
              <w:keepLines/>
            </w:pPr>
            <w:r>
              <w:rPr>
                <w:rFonts w:eastAsia="Times New Roman"/>
                <w:sz w:val="17"/>
              </w:rPr>
              <w:t>Controlled prefix audit</w:t>
            </w:r>
          </w:p>
        </w:tc>
        <w:tc>
          <w:tcPr>
            <w:tcW w:w="1791" w:type="dxa"/>
            <w:vAlign w:val="center"/>
          </w:tcPr>
          <w:p w14:paraId="06EC7BB9" w14:textId="77777777" w:rsidR="00EE56A9" w:rsidRDefault="00721CC4">
            <w:pPr>
              <w:keepLines/>
            </w:pPr>
            <w:r>
              <w:rPr>
                <w:rFonts w:eastAsia="Times New Roman"/>
                <w:sz w:val="17"/>
              </w:rPr>
              <w:t>32 Morgan candidates</w:t>
            </w:r>
          </w:p>
        </w:tc>
        <w:tc>
          <w:tcPr>
            <w:tcW w:w="3044" w:type="dxa"/>
            <w:vAlign w:val="center"/>
          </w:tcPr>
          <w:p w14:paraId="39532786" w14:textId="77777777" w:rsidR="00EE56A9" w:rsidRDefault="00721CC4">
            <w:pPr>
              <w:keepLines/>
            </w:pPr>
            <w:r>
              <w:rPr>
                <w:rFonts w:eastAsia="Times New Roman"/>
                <w:sz w:val="17"/>
              </w:rPr>
              <w:t>5 seeds; 3 outer × 3 inner</w:t>
            </w:r>
          </w:p>
        </w:tc>
        <w:tc>
          <w:tcPr>
            <w:tcW w:w="1973" w:type="dxa"/>
            <w:vAlign w:val="center"/>
          </w:tcPr>
          <w:p w14:paraId="462005D0" w14:textId="77777777" w:rsidR="00EE56A9" w:rsidRDefault="00721CC4">
            <w:pPr>
              <w:keepLines/>
            </w:pPr>
            <w:r>
              <w:rPr>
                <w:rFonts w:eastAsia="Times New Roman"/>
                <w:sz w:val="17"/>
              </w:rPr>
              <w:t>17,280 candidate fits</w:t>
            </w:r>
          </w:p>
        </w:tc>
      </w:tr>
      <w:tr w:rsidR="00EE56A9" w14:paraId="53BF9780" w14:textId="77777777">
        <w:trPr>
          <w:cantSplit/>
          <w:jc w:val="center"/>
        </w:trPr>
        <w:tc>
          <w:tcPr>
            <w:tcW w:w="2149" w:type="dxa"/>
            <w:vAlign w:val="center"/>
          </w:tcPr>
          <w:p w14:paraId="70C3FE0D" w14:textId="77777777" w:rsidR="00EE56A9" w:rsidRDefault="00721CC4">
            <w:pPr>
              <w:keepLines/>
            </w:pPr>
            <w:r>
              <w:rPr>
                <w:rFonts w:eastAsia="Times New Roman"/>
                <w:sz w:val="17"/>
              </w:rPr>
              <w:t>Calibration and resampling controls</w:t>
            </w:r>
          </w:p>
        </w:tc>
        <w:tc>
          <w:tcPr>
            <w:tcW w:w="1791" w:type="dxa"/>
            <w:vAlign w:val="center"/>
          </w:tcPr>
          <w:p w14:paraId="29F63DDF" w14:textId="77777777" w:rsidR="00EE56A9" w:rsidRDefault="00721CC4">
            <w:pPr>
              <w:keepLines/>
            </w:pPr>
            <w:r>
              <w:rPr>
                <w:rFonts w:eastAsia="Times New Roman"/>
                <w:sz w:val="17"/>
              </w:rPr>
              <w:t>Stored 32-candidate results</w:t>
            </w:r>
          </w:p>
        </w:tc>
        <w:tc>
          <w:tcPr>
            <w:tcW w:w="3044" w:type="dxa"/>
            <w:vAlign w:val="center"/>
          </w:tcPr>
          <w:p w14:paraId="66B0654F" w14:textId="77777777" w:rsidR="00EE56A9" w:rsidRDefault="00721CC4">
            <w:pPr>
              <w:keepLines/>
            </w:pPr>
            <w:r>
              <w:rPr>
                <w:rFonts w:eastAsia="Times New Roman"/>
                <w:sz w:val="17"/>
              </w:rPr>
              <w:t>5,000 permutations; 100 resamples per mode/K/seed</w:t>
            </w:r>
          </w:p>
        </w:tc>
        <w:tc>
          <w:tcPr>
            <w:tcW w:w="1973" w:type="dxa"/>
            <w:vAlign w:val="center"/>
          </w:tcPr>
          <w:p w14:paraId="182B649D" w14:textId="77777777" w:rsidR="00EE56A9" w:rsidRDefault="00721CC4">
            <w:pPr>
              <w:keepLines/>
            </w:pPr>
            <w:r>
              <w:rPr>
                <w:rFonts w:eastAsia="Times New Roman"/>
                <w:sz w:val="17"/>
              </w:rPr>
              <w:t>No additional model fitting</w:t>
            </w:r>
          </w:p>
        </w:tc>
      </w:tr>
      <w:tr w:rsidR="00EE56A9" w14:paraId="109ADEF3" w14:textId="77777777">
        <w:trPr>
          <w:cantSplit/>
          <w:jc w:val="center"/>
        </w:trPr>
        <w:tc>
          <w:tcPr>
            <w:tcW w:w="2149" w:type="dxa"/>
            <w:vAlign w:val="center"/>
          </w:tcPr>
          <w:p w14:paraId="7823F9BD" w14:textId="77777777" w:rsidR="00EE56A9" w:rsidRDefault="00721CC4">
            <w:pPr>
              <w:keepLines/>
            </w:pPr>
            <w:r>
              <w:rPr>
                <w:rFonts w:eastAsia="Times New Roman"/>
                <w:sz w:val="17"/>
              </w:rPr>
              <w:t>Matched multiview audit</w:t>
            </w:r>
          </w:p>
        </w:tc>
        <w:tc>
          <w:tcPr>
            <w:tcW w:w="1791" w:type="dxa"/>
            <w:vAlign w:val="center"/>
          </w:tcPr>
          <w:p w14:paraId="1730CB9D" w14:textId="77777777" w:rsidR="00EE56A9" w:rsidRDefault="00721CC4">
            <w:pPr>
              <w:keepLines/>
            </w:pPr>
            <w:r>
              <w:rPr>
                <w:rFonts w:eastAsia="Times New Roman"/>
                <w:sz w:val="17"/>
              </w:rPr>
              <w:t>12 multiview candidates</w:t>
            </w:r>
          </w:p>
        </w:tc>
        <w:tc>
          <w:tcPr>
            <w:tcW w:w="3044" w:type="dxa"/>
            <w:vAlign w:val="center"/>
          </w:tcPr>
          <w:p w14:paraId="45FFF491" w14:textId="77777777" w:rsidR="00EE56A9" w:rsidRDefault="00721CC4">
            <w:pPr>
              <w:keepLines/>
            </w:pPr>
            <w:r>
              <w:rPr>
                <w:rFonts w:eastAsia="Times New Roman"/>
                <w:sz w:val="17"/>
              </w:rPr>
              <w:t>5 seeds; all C(12,3) subsets</w:t>
            </w:r>
          </w:p>
        </w:tc>
        <w:tc>
          <w:tcPr>
            <w:tcW w:w="1973" w:type="dxa"/>
            <w:vAlign w:val="center"/>
          </w:tcPr>
          <w:p w14:paraId="075630CD" w14:textId="77777777" w:rsidR="00EE56A9" w:rsidRDefault="00721CC4">
            <w:pPr>
              <w:keepLines/>
            </w:pPr>
            <w:r>
              <w:rPr>
                <w:rFonts w:eastAsia="Times New Roman"/>
                <w:sz w:val="17"/>
              </w:rPr>
              <w:t>6,480 candidate fits</w:t>
            </w:r>
          </w:p>
        </w:tc>
      </w:tr>
      <w:tr w:rsidR="00EE56A9" w14:paraId="78647D39" w14:textId="77777777">
        <w:trPr>
          <w:cantSplit/>
          <w:jc w:val="center"/>
        </w:trPr>
        <w:tc>
          <w:tcPr>
            <w:tcW w:w="2149" w:type="dxa"/>
            <w:vAlign w:val="center"/>
          </w:tcPr>
          <w:p w14:paraId="2067C5C7" w14:textId="77777777" w:rsidR="00EE56A9" w:rsidRDefault="00721CC4">
            <w:pPr>
              <w:keepLines/>
            </w:pPr>
            <w:r>
              <w:rPr>
                <w:rFonts w:eastAsia="Times New Roman"/>
                <w:sz w:val="17"/>
              </w:rPr>
              <w:t>Split-regime transfer audit</w:t>
            </w:r>
          </w:p>
        </w:tc>
        <w:tc>
          <w:tcPr>
            <w:tcW w:w="1791" w:type="dxa"/>
            <w:vAlign w:val="center"/>
          </w:tcPr>
          <w:p w14:paraId="481B314B" w14:textId="77777777" w:rsidR="00EE56A9" w:rsidRDefault="00721CC4">
            <w:pPr>
              <w:keepLines/>
            </w:pPr>
            <w:r>
              <w:rPr>
                <w:rFonts w:eastAsia="Times New Roman"/>
                <w:sz w:val="17"/>
              </w:rPr>
              <w:t>32 Morgan candidates</w:t>
            </w:r>
          </w:p>
        </w:tc>
        <w:tc>
          <w:tcPr>
            <w:tcW w:w="3044" w:type="dxa"/>
            <w:vAlign w:val="center"/>
          </w:tcPr>
          <w:p w14:paraId="563EE775" w14:textId="77777777" w:rsidR="00EE56A9" w:rsidRDefault="00721CC4">
            <w:pPr>
              <w:keepLines/>
            </w:pPr>
            <w:r>
              <w:rPr>
                <w:rFonts w:eastAsia="Times New Roman"/>
                <w:sz w:val="17"/>
              </w:rPr>
              <w:t>3 endpoints; scaffold vs Tanimoto components</w:t>
            </w:r>
          </w:p>
        </w:tc>
        <w:tc>
          <w:tcPr>
            <w:tcW w:w="1973" w:type="dxa"/>
            <w:vAlign w:val="center"/>
          </w:tcPr>
          <w:p w14:paraId="46424BD8" w14:textId="77777777" w:rsidR="00EE56A9" w:rsidRDefault="00721CC4">
            <w:pPr>
              <w:keepLines/>
            </w:pPr>
            <w:r>
              <w:rPr>
                <w:rFonts w:eastAsia="Times New Roman"/>
                <w:sz w:val="17"/>
              </w:rPr>
              <w:t>5,760 candidate fits</w:t>
            </w:r>
          </w:p>
        </w:tc>
      </w:tr>
      <w:tr w:rsidR="00EE56A9" w14:paraId="1B8962F5" w14:textId="77777777">
        <w:trPr>
          <w:cantSplit/>
          <w:jc w:val="center"/>
        </w:trPr>
        <w:tc>
          <w:tcPr>
            <w:tcW w:w="2149" w:type="dxa"/>
            <w:vAlign w:val="center"/>
          </w:tcPr>
          <w:p w14:paraId="4224F928" w14:textId="77777777" w:rsidR="00EE56A9" w:rsidRDefault="00721CC4">
            <w:pPr>
              <w:keepLines/>
            </w:pPr>
            <w:r>
              <w:rPr>
                <w:rFonts w:eastAsia="Times New Roman"/>
                <w:sz w:val="17"/>
              </w:rPr>
              <w:t>Equal-size registry intervention</w:t>
            </w:r>
          </w:p>
        </w:tc>
        <w:tc>
          <w:tcPr>
            <w:tcW w:w="1791" w:type="dxa"/>
            <w:vAlign w:val="center"/>
          </w:tcPr>
          <w:p w14:paraId="1F773A57" w14:textId="77777777" w:rsidR="00EE56A9" w:rsidRDefault="00721CC4">
            <w:pPr>
              <w:keepLines/>
            </w:pPr>
            <w:r>
              <w:rPr>
                <w:rFonts w:eastAsia="Times New Roman"/>
                <w:sz w:val="17"/>
              </w:rPr>
              <w:t>Three equal-size registries</w:t>
            </w:r>
          </w:p>
        </w:tc>
        <w:tc>
          <w:tcPr>
            <w:tcW w:w="3044" w:type="dxa"/>
            <w:vAlign w:val="center"/>
          </w:tcPr>
          <w:p w14:paraId="3C05E808" w14:textId="77777777" w:rsidR="00EE56A9" w:rsidRDefault="00721CC4">
            <w:pPr>
              <w:keepLines/>
            </w:pPr>
            <w:r>
              <w:rPr>
                <w:rFonts w:eastAsia="Times New Roman"/>
                <w:sz w:val="17"/>
              </w:rPr>
              <w:t>3 endpoints; 3 registries; K = 16 and 32</w:t>
            </w:r>
          </w:p>
        </w:tc>
        <w:tc>
          <w:tcPr>
            <w:tcW w:w="1973" w:type="dxa"/>
            <w:vAlign w:val="center"/>
          </w:tcPr>
          <w:p w14:paraId="49A35F3C" w14:textId="77777777" w:rsidR="00EE56A9" w:rsidRDefault="00721CC4">
            <w:pPr>
              <w:keepLines/>
            </w:pPr>
            <w:r>
              <w:rPr>
                <w:rFonts w:eastAsia="Times New Roman"/>
                <w:sz w:val="17"/>
              </w:rPr>
              <w:t>270 outer audit units; time recorded</w:t>
            </w:r>
          </w:p>
        </w:tc>
      </w:tr>
    </w:tbl>
    <w:p w14:paraId="00A60289" w14:textId="77777777" w:rsidR="00EE56A9" w:rsidRDefault="00721CC4">
      <w:pPr>
        <w:keepLines/>
      </w:pPr>
      <w:r>
        <w:rPr>
          <w:rFonts w:eastAsia="Times New Roman"/>
          <w:i/>
          <w:sz w:val="17"/>
        </w:rPr>
        <w:t>不同分析的暴露单位不可直接比较。下游成本不包含编码器预训练和缓存嵌入提取。</w:t>
      </w:r>
    </w:p>
    <w:p w14:paraId="7BBBF7B7" w14:textId="77777777" w:rsidR="00EE56A9" w:rsidRDefault="00721CC4">
      <w:pPr>
        <w:jc w:val="center"/>
      </w:pPr>
      <w:r>
        <w:rPr>
          <w:noProof/>
        </w:rPr>
        <w:drawing>
          <wp:inline distT="0" distB="0" distL="0" distR="0" wp14:anchorId="62890386" wp14:editId="3D592451">
            <wp:extent cx="5760720" cy="3250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retrospective_nested_audit_architecture.png"/>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3250846"/>
                    </a:xfrm>
                    <a:prstGeom prst="rect">
                      <a:avLst/>
                    </a:prstGeom>
                  </pic:spPr>
                </pic:pic>
              </a:graphicData>
            </a:graphic>
          </wp:inline>
        </w:drawing>
      </w:r>
    </w:p>
    <w:p w14:paraId="751B1F4A" w14:textId="77777777" w:rsidR="00EE56A9" w:rsidRDefault="00721CC4">
      <w:pPr>
        <w:pStyle w:val="af7"/>
        <w:spacing w:after="0" w:line="360" w:lineRule="auto"/>
      </w:pPr>
      <w:r>
        <w:t>图</w:t>
      </w:r>
      <w:r>
        <w:t xml:space="preserve">1 </w:t>
      </w:r>
      <w:r>
        <w:t>候选池扩张与模型选择损失的回顾性嵌套审计框架。中央模块将</w:t>
      </w:r>
      <w:r>
        <w:t>5</w:t>
      </w:r>
      <w:r>
        <w:t>个种子划分中</w:t>
      </w:r>
      <w:r>
        <w:t>3</w:t>
      </w:r>
      <w:r>
        <w:t>个内层骨架折的候选排序，与</w:t>
      </w:r>
      <w:r>
        <w:t>3</w:t>
      </w:r>
      <w:r>
        <w:t>个外层折的一次性审计严格分离，并禁止外层标签反馈。左侧输入已登记终点和预设候选前缀；周围分支汇总效用模式多样性、机会校正排序、同单元与交叉拟合选择差距、切分机制迁移、等规模注册表组成、有限审计赢家乐观偏差、化学支持边界以及四模型预测</w:t>
      </w:r>
      <w:r>
        <w:t>/</w:t>
      </w:r>
      <w:r>
        <w:t>错误可靠性。所有证据流汇入可审计证据图谱，而非模型排行榜。</w:t>
      </w:r>
    </w:p>
    <w:p w14:paraId="2C8C5059" w14:textId="77777777" w:rsidR="00EE56A9" w:rsidRDefault="00721CC4">
      <w:pPr>
        <w:pStyle w:val="1"/>
        <w:spacing w:line="360" w:lineRule="auto"/>
      </w:pPr>
      <w:r>
        <w:rPr>
          <w:rFonts w:ascii="Times New Roman" w:eastAsia="黑体" w:hAnsi="Times New Roman"/>
          <w:b w:val="0"/>
        </w:rPr>
        <w:lastRenderedPageBreak/>
        <w:t xml:space="preserve">3 </w:t>
      </w:r>
      <w:r>
        <w:rPr>
          <w:rFonts w:ascii="Times New Roman" w:eastAsia="黑体" w:hAnsi="Times New Roman"/>
          <w:b w:val="0"/>
        </w:rPr>
        <w:t>结果</w:t>
      </w:r>
    </w:p>
    <w:p w14:paraId="1DF3208E" w14:textId="77777777" w:rsidR="00EE56A9" w:rsidRDefault="00721CC4">
      <w:pPr>
        <w:pStyle w:val="21"/>
        <w:spacing w:line="360" w:lineRule="auto"/>
      </w:pPr>
      <w:r>
        <w:rPr>
          <w:rFonts w:ascii="Times New Roman" w:eastAsia="黑体" w:hAnsi="Times New Roman"/>
          <w:b w:val="0"/>
        </w:rPr>
        <w:t xml:space="preserve">3.1 </w:t>
      </w:r>
      <w:r>
        <w:rPr>
          <w:rFonts w:ascii="Times New Roman" w:eastAsia="黑体" w:hAnsi="Times New Roman"/>
          <w:b w:val="0"/>
        </w:rPr>
        <w:t>有效多样性取决于矩阵构造</w:t>
      </w:r>
    </w:p>
    <w:p w14:paraId="1334A03C" w14:textId="77777777" w:rsidR="00EE56A9" w:rsidRDefault="00721CC4">
      <w:pPr>
        <w:spacing w:after="0" w:line="360" w:lineRule="auto"/>
      </w:pPr>
      <w:r>
        <w:t>K=32</w:t>
      </w:r>
      <w:r>
        <w:t>时，</w:t>
      </w:r>
      <w:r>
        <w:t>9</w:t>
      </w:r>
      <w:r>
        <w:t>个终点的</w:t>
      </w:r>
      <w:r>
        <w:t>Ledoit–Wolf</w:t>
      </w:r>
      <w:r>
        <w:t>谱熵有效秩主汇总为原始矩阵</w:t>
      </w:r>
      <w:r>
        <w:t>2.98</w:t>
      </w:r>
      <w:r>
        <w:t>（</w:t>
      </w:r>
      <w:r>
        <w:t>IQR 2.79–3.65</w:t>
      </w:r>
      <w:r>
        <w:t>；范围</w:t>
      </w:r>
      <w:r>
        <w:t>2.42–10.66</w:t>
      </w:r>
      <w:r>
        <w:t>）；逐行中心化矩阵</w:t>
      </w:r>
      <w:r>
        <w:t>24.23</w:t>
      </w:r>
      <w:r>
        <w:t>（</w:t>
      </w:r>
      <w:r>
        <w:t>IQR 14.89–25.08</w:t>
      </w:r>
      <w:r>
        <w:t>；范围</w:t>
      </w:r>
      <w:r>
        <w:t>6.17–27.98</w:t>
      </w:r>
      <w:r>
        <w:t>）；固定参照差值矩阵</w:t>
      </w:r>
      <w:r>
        <w:t>5.86</w:t>
      </w:r>
      <w:r>
        <w:t>（</w:t>
      </w:r>
      <w:r>
        <w:t>IQR 2.72–9.88</w:t>
      </w:r>
      <w:r>
        <w:t>；范围</w:t>
      </w:r>
      <w:r>
        <w:t>1.87–13.20</w:t>
      </w:r>
      <w:r>
        <w:t>）；单元内秩矩阵</w:t>
      </w:r>
      <w:r>
        <w:t>27.14</w:t>
      </w:r>
      <w:r>
        <w:t>（</w:t>
      </w:r>
      <w:r>
        <w:t>IQR 16.92–28.78</w:t>
      </w:r>
      <w:r>
        <w:t>；范围</w:t>
      </w:r>
      <w:r>
        <w:t>11.71–29.76</w:t>
      </w:r>
      <w:r>
        <w:t>）。原始效用保留共同审计单元难度，逐行中心化移除共同水平位移，固定参照估计依赖参照，单元内秩保留顺序但丢失效用间距。参与率有效秩和非对角相关中位数见补充表</w:t>
      </w:r>
      <w:r>
        <w:t>S6</w:t>
      </w:r>
      <w:r>
        <w:t>；不把任何一种变换视为唯一真实的候选数。</w:t>
      </w:r>
    </w:p>
    <w:p w14:paraId="64F3DD8F" w14:textId="77777777" w:rsidR="00EE56A9" w:rsidRDefault="00721CC4">
      <w:pPr>
        <w:spacing w:after="0" w:line="360" w:lineRule="auto"/>
      </w:pPr>
      <w:r>
        <w:t>留一</w:t>
      </w:r>
      <w:r>
        <w:t>seed</w:t>
      </w:r>
      <w:r>
        <w:t>、留一</w:t>
      </w:r>
      <w:r>
        <w:t>fold</w:t>
      </w:r>
      <w:r>
        <w:t>和预设参照分析均表明终点估计对矩阵构造和参照敏感。逐行中心化同时引入每行和为零的约束；收缩稳定相关谱，但不会增加独立审计单元（图</w:t>
      </w:r>
      <w:r>
        <w:t>2</w:t>
      </w:r>
      <w:r>
        <w:t>；补充表</w:t>
      </w:r>
      <w:r>
        <w:t>S6–S7</w:t>
      </w:r>
      <w:r>
        <w:t>）。</w:t>
      </w:r>
    </w:p>
    <w:p w14:paraId="7A87A6E4" w14:textId="77777777" w:rsidR="00EE56A9" w:rsidRDefault="00721CC4">
      <w:pPr>
        <w:jc w:val="center"/>
      </w:pPr>
      <w:r>
        <w:rPr>
          <w:noProof/>
        </w:rPr>
        <w:drawing>
          <wp:inline distT="0" distB="0" distL="0" distR="0" wp14:anchorId="1FD2FBD6" wp14:editId="7C14145C">
            <wp:extent cx="5760720" cy="4582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andidate_diversity_after_adjustment.png"/>
                    <pic:cNvPicPr/>
                  </pic:nvPicPr>
                  <pic:blipFill>
                    <a:blip r:embed="rId10">
                      <a:extLst>
                        <a:ext uri="{96DAC541-7B7A-43D3-8B79-37D633B846F1}">
                          <asvg:svgBlip xmlns:asvg="http://schemas.microsoft.com/office/drawing/2016/SVG/main" r:embed="rId11"/>
                        </a:ext>
                      </a:extLst>
                    </a:blip>
                    <a:stretch>
                      <a:fillRect/>
                    </a:stretch>
                  </pic:blipFill>
                  <pic:spPr>
                    <a:xfrm>
                      <a:off x="0" y="0"/>
                      <a:ext cx="5760720" cy="4582741"/>
                    </a:xfrm>
                    <a:prstGeom prst="rect">
                      <a:avLst/>
                    </a:prstGeom>
                  </pic:spPr>
                </pic:pic>
              </a:graphicData>
            </a:graphic>
          </wp:inline>
        </w:drawing>
      </w:r>
    </w:p>
    <w:p w14:paraId="411A60E7" w14:textId="77777777" w:rsidR="00EE56A9" w:rsidRDefault="00721CC4">
      <w:pPr>
        <w:pStyle w:val="af7"/>
        <w:spacing w:after="0" w:line="360" w:lineRule="auto"/>
      </w:pPr>
      <w:r>
        <w:rPr>
          <w:b w:val="0"/>
        </w:rPr>
        <w:lastRenderedPageBreak/>
        <w:t>图</w:t>
      </w:r>
      <w:r>
        <w:rPr>
          <w:b w:val="0"/>
        </w:rPr>
        <w:t xml:space="preserve">2 </w:t>
      </w:r>
      <w:r>
        <w:rPr>
          <w:b w:val="0"/>
        </w:rPr>
        <w:t>矩阵依赖的候选多样性。</w:t>
      </w:r>
      <w:r>
        <w:rPr>
          <w:b w:val="0"/>
        </w:rPr>
        <w:t>A</w:t>
      </w:r>
      <w:r>
        <w:rPr>
          <w:b w:val="0"/>
        </w:rPr>
        <w:t>比较原始、逐行中心化、固定参照差值和单元内秩矩阵的</w:t>
      </w:r>
      <w:r>
        <w:rPr>
          <w:b w:val="0"/>
        </w:rPr>
        <w:t>Ledoit–Wolf</w:t>
      </w:r>
      <w:r>
        <w:rPr>
          <w:b w:val="0"/>
        </w:rPr>
        <w:t>谱熵秩；实线为终点中位数，阴影为</w:t>
      </w:r>
      <w:r>
        <w:rPr>
          <w:b w:val="0"/>
        </w:rPr>
        <w:t>IQR</w:t>
      </w:r>
      <w:r>
        <w:rPr>
          <w:b w:val="0"/>
        </w:rPr>
        <w:t>，灰色点线为名义</w:t>
      </w:r>
      <w:r>
        <w:rPr>
          <w:b w:val="0"/>
        </w:rPr>
        <w:t>K</w:t>
      </w:r>
      <w:r>
        <w:rPr>
          <w:b w:val="0"/>
        </w:rPr>
        <w:t>。原始效用保留共同审计单元难度，逐行中心化去除共同水平位移。</w:t>
      </w:r>
      <w:r>
        <w:rPr>
          <w:b w:val="0"/>
        </w:rPr>
        <w:t>B</w:t>
      </w:r>
      <w:r>
        <w:rPr>
          <w:b w:val="0"/>
        </w:rPr>
        <w:t>在</w:t>
      </w:r>
      <w:r>
        <w:rPr>
          <w:b w:val="0"/>
        </w:rPr>
        <w:t>K=32</w:t>
      </w:r>
      <w:r>
        <w:rPr>
          <w:b w:val="0"/>
        </w:rPr>
        <w:t>比较谱熵秩与参与率秩，并给出</w:t>
      </w:r>
      <w:r>
        <w:rPr>
          <w:b w:val="0"/>
        </w:rPr>
        <w:t>45°</w:t>
      </w:r>
      <w:r>
        <w:rPr>
          <w:b w:val="0"/>
        </w:rPr>
        <w:t>参考线。</w:t>
      </w:r>
      <w:r>
        <w:rPr>
          <w:b w:val="0"/>
        </w:rPr>
        <w:t>C</w:t>
      </w:r>
      <w:r>
        <w:rPr>
          <w:b w:val="0"/>
        </w:rPr>
        <w:t>为校正后的候选相关中位数。</w:t>
      </w:r>
      <w:r>
        <w:rPr>
          <w:b w:val="0"/>
        </w:rPr>
        <w:t>D</w:t>
      </w:r>
      <w:r>
        <w:rPr>
          <w:b w:val="0"/>
        </w:rPr>
        <w:t>显示</w:t>
      </w:r>
      <w:r>
        <w:rPr>
          <w:b w:val="0"/>
        </w:rPr>
        <w:t>K=32</w:t>
      </w:r>
      <w:r>
        <w:rPr>
          <w:b w:val="0"/>
        </w:rPr>
        <w:t>的固定参照差值终点估计；实线和虚线分别为留一</w:t>
      </w:r>
      <w:r>
        <w:rPr>
          <w:b w:val="0"/>
        </w:rPr>
        <w:t>seed</w:t>
      </w:r>
      <w:r>
        <w:rPr>
          <w:b w:val="0"/>
        </w:rPr>
        <w:t>与留一</w:t>
      </w:r>
      <w:r>
        <w:rPr>
          <w:b w:val="0"/>
        </w:rPr>
        <w:t>fold</w:t>
      </w:r>
      <w:r>
        <w:rPr>
          <w:b w:val="0"/>
        </w:rPr>
        <w:t>范围，空心点为预设参照。</w:t>
      </w:r>
    </w:p>
    <w:p w14:paraId="2C04634C" w14:textId="77777777" w:rsidR="00EE56A9" w:rsidRDefault="00721CC4">
      <w:pPr>
        <w:pStyle w:val="21"/>
        <w:spacing w:line="360" w:lineRule="auto"/>
      </w:pPr>
      <w:r>
        <w:rPr>
          <w:rFonts w:ascii="Times New Roman" w:eastAsia="黑体" w:hAnsi="Times New Roman"/>
          <w:b w:val="0"/>
        </w:rPr>
        <w:t xml:space="preserve">3.2 </w:t>
      </w:r>
      <w:r>
        <w:rPr>
          <w:rFonts w:ascii="Times New Roman" w:eastAsia="黑体" w:hAnsi="Times New Roman"/>
          <w:b w:val="0"/>
        </w:rPr>
        <w:t>机会校正排序保真度随</w:t>
      </w:r>
      <w:r>
        <w:rPr>
          <w:rFonts w:ascii="Times New Roman" w:eastAsia="黑体" w:hAnsi="Times New Roman"/>
          <w:b w:val="0"/>
        </w:rPr>
        <w:t>K</w:t>
      </w:r>
      <w:r>
        <w:rPr>
          <w:rFonts w:ascii="Times New Roman" w:eastAsia="黑体" w:hAnsi="Times New Roman"/>
          <w:b w:val="0"/>
        </w:rPr>
        <w:t>变化</w:t>
      </w:r>
    </w:p>
    <w:p w14:paraId="3F622B3C" w14:textId="77777777" w:rsidR="00EE56A9" w:rsidRDefault="00721CC4">
      <w:pPr>
        <w:spacing w:after="0" w:line="360" w:lineRule="auto"/>
      </w:pPr>
      <w:r>
        <w:t>按照折内到</w:t>
      </w:r>
      <w:r>
        <w:t>seed</w:t>
      </w:r>
      <w:r>
        <w:t>、</w:t>
      </w:r>
      <w:r>
        <w:t>seed</w:t>
      </w:r>
      <w:r>
        <w:t>内到终点、再跨</w:t>
      </w:r>
      <w:r>
        <w:t>9</w:t>
      </w:r>
      <w:r>
        <w:t>个终点的预定汇总，端点中位</w:t>
      </w:r>
      <w:r>
        <w:t>CAHit@3</w:t>
      </w:r>
      <w:r>
        <w:t>由</w:t>
      </w:r>
      <w:r>
        <w:t>K=4</w:t>
      </w:r>
      <w:r>
        <w:t>时的</w:t>
      </w:r>
      <w:r>
        <w:t>1.000</w:t>
      </w:r>
      <w:r>
        <w:t>（</w:t>
      </w:r>
      <w:r>
        <w:t>IQR 1.000–1.000</w:t>
      </w:r>
      <w:r>
        <w:t>）变为</w:t>
      </w:r>
      <w:r>
        <w:t>K=32</w:t>
      </w:r>
      <w:r>
        <w:t>时的</w:t>
      </w:r>
      <w:r>
        <w:t>0.264</w:t>
      </w:r>
      <w:r>
        <w:t>（</w:t>
      </w:r>
      <w:r>
        <w:t>0.117–0.338</w:t>
      </w:r>
      <w:r>
        <w:t>）；标准化</w:t>
      </w:r>
      <w:r>
        <w:t>MRR</w:t>
      </w:r>
      <w:r>
        <w:t>增益由</w:t>
      </w:r>
      <w:r>
        <w:t>0.861</w:t>
      </w:r>
      <w:r>
        <w:t>（</w:t>
      </w:r>
      <w:r>
        <w:t>0.200–1.000</w:t>
      </w:r>
      <w:r>
        <w:t>）变为</w:t>
      </w:r>
      <w:r>
        <w:t>0.157</w:t>
      </w:r>
      <w:r>
        <w:t>（</w:t>
      </w:r>
      <w:r>
        <w:t>0.101–0.197</w:t>
      </w:r>
      <w:r>
        <w:t>）。标准化</w:t>
      </w:r>
      <w:r>
        <w:t>MRR</w:t>
      </w:r>
      <w:r>
        <w:t>使用随机排序期望</w:t>
      </w:r>
      <w:r>
        <w:t>H_K/K</w:t>
      </w:r>
      <w:r>
        <w:t>。</w:t>
      </w:r>
      <w:r>
        <w:t>NDCG</w:t>
      </w:r>
      <w:r>
        <w:t>、</w:t>
      </w:r>
      <w:r>
        <w:t>Spearman</w:t>
      </w:r>
      <w:r>
        <w:t>、</w:t>
      </w:r>
      <w:r>
        <w:t>Kendall</w:t>
      </w:r>
      <w:r>
        <w:t>和秩百分位提供互补证据。</w:t>
      </w:r>
    </w:p>
    <w:p w14:paraId="3421615B" w14:textId="77777777" w:rsidR="00EE56A9" w:rsidRDefault="00721CC4">
      <w:pPr>
        <w:spacing w:after="0" w:line="360" w:lineRule="auto"/>
      </w:pPr>
      <w:r>
        <w:t>置换对照回到校正零点，四个</w:t>
      </w:r>
      <w:r>
        <w:t>K</w:t>
      </w:r>
      <w:r>
        <w:t>下的观测</w:t>
      </w:r>
      <w:r>
        <w:t>CAHit@3</w:t>
      </w:r>
      <w:r>
        <w:t>终点中位数均高于</w:t>
      </w:r>
      <w:r>
        <w:t>95%</w:t>
      </w:r>
      <w:r>
        <w:t>置换包络（最大单侧置换</w:t>
      </w:r>
      <w:r>
        <w:t>P=0.0002</w:t>
      </w:r>
      <w:r>
        <w:t>）。在</w:t>
      </w:r>
      <w:r>
        <w:t>K=4</w:t>
      </w:r>
      <w:r>
        <w:t>、</w:t>
      </w:r>
      <w:r>
        <w:t>8</w:t>
      </w:r>
      <w:r>
        <w:t>、</w:t>
      </w:r>
      <w:r>
        <w:t>16</w:t>
      </w:r>
      <w:r>
        <w:t>和</w:t>
      </w:r>
      <w:r>
        <w:t>32</w:t>
      </w:r>
      <w:r>
        <w:t>下，注入信号增强均使</w:t>
      </w:r>
      <w:r>
        <w:t>CAHit@3</w:t>
      </w:r>
      <w:r>
        <w:t>和标准化</w:t>
      </w:r>
      <w:r>
        <w:t>MRR</w:t>
      </w:r>
      <w:r>
        <w:t>单调提高、固定范围选择损失单调降低；零信号</w:t>
      </w:r>
      <w:r>
        <w:t>CAHit@3</w:t>
      </w:r>
      <w:r>
        <w:t>最大绝对偏差为</w:t>
      </w:r>
      <w:r>
        <w:t>0.010</w:t>
      </w:r>
      <w:r>
        <w:t>，完全信号时所有</w:t>
      </w:r>
      <w:r>
        <w:t>K</w:t>
      </w:r>
      <w:r>
        <w:t>的中位选择损失均为</w:t>
      </w:r>
      <w:r>
        <w:t>0.000</w:t>
      </w:r>
      <w:r>
        <w:t>（图</w:t>
      </w:r>
      <w:r>
        <w:t>3A–B</w:t>
      </w:r>
      <w:r>
        <w:t>）。</w:t>
      </w:r>
    </w:p>
    <w:p w14:paraId="7FA0C19D" w14:textId="77777777" w:rsidR="00EE56A9" w:rsidRDefault="00721CC4">
      <w:pPr>
        <w:jc w:val="center"/>
      </w:pPr>
      <w:r>
        <w:rPr>
          <w:noProof/>
        </w:rPr>
        <w:lastRenderedPageBreak/>
        <w:drawing>
          <wp:inline distT="0" distB="0" distL="0" distR="0" wp14:anchorId="295E0289" wp14:editId="16941804">
            <wp:extent cx="5760720" cy="4170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chance_adjusted_ranking_and_selection_gaps.png"/>
                    <pic:cNvPicPr/>
                  </pic:nvPicPr>
                  <pic:blipFill>
                    <a:blip r:embed="rId12">
                      <a:extLst>
                        <a:ext uri="{96DAC541-7B7A-43D3-8B79-37D633B846F1}">
                          <asvg:svgBlip xmlns:asvg="http://schemas.microsoft.com/office/drawing/2016/SVG/main" r:embed="rId13"/>
                        </a:ext>
                      </a:extLst>
                    </a:blip>
                    <a:stretch>
                      <a:fillRect/>
                    </a:stretch>
                  </pic:blipFill>
                  <pic:spPr>
                    <a:xfrm>
                      <a:off x="0" y="0"/>
                      <a:ext cx="5760720" cy="4170814"/>
                    </a:xfrm>
                    <a:prstGeom prst="rect">
                      <a:avLst/>
                    </a:prstGeom>
                  </pic:spPr>
                </pic:pic>
              </a:graphicData>
            </a:graphic>
          </wp:inline>
        </w:drawing>
      </w:r>
    </w:p>
    <w:p w14:paraId="553090E8" w14:textId="77777777" w:rsidR="00EE56A9" w:rsidRDefault="00721CC4">
      <w:pPr>
        <w:pStyle w:val="af7"/>
        <w:spacing w:after="0" w:line="360" w:lineRule="auto"/>
      </w:pPr>
      <w:r>
        <w:rPr>
          <w:b w:val="0"/>
        </w:rPr>
        <w:t>图</w:t>
      </w:r>
      <w:r>
        <w:rPr>
          <w:b w:val="0"/>
        </w:rPr>
        <w:t xml:space="preserve">3 </w:t>
      </w:r>
      <w:r>
        <w:rPr>
          <w:b w:val="0"/>
        </w:rPr>
        <w:t>机会校正排序校准与交叉拟合差距。</w:t>
      </w:r>
      <w:r>
        <w:rPr>
          <w:b w:val="0"/>
        </w:rPr>
        <w:t>A</w:t>
      </w:r>
      <w:r>
        <w:rPr>
          <w:b w:val="0"/>
        </w:rPr>
        <w:t>显示</w:t>
      </w:r>
      <w:r>
        <w:rPr>
          <w:b w:val="0"/>
        </w:rPr>
        <w:t>CAHit@3</w:t>
      </w:r>
      <w:r>
        <w:rPr>
          <w:b w:val="0"/>
        </w:rPr>
        <w:t>和标准化</w:t>
      </w:r>
      <w:r>
        <w:rPr>
          <w:b w:val="0"/>
        </w:rPr>
        <w:t>MRR</w:t>
      </w:r>
      <w:r>
        <w:rPr>
          <w:b w:val="0"/>
        </w:rPr>
        <w:t>增益的终点中位数与</w:t>
      </w:r>
      <w:r>
        <w:rPr>
          <w:b w:val="0"/>
        </w:rPr>
        <w:t>IQR</w:t>
      </w:r>
      <w:r>
        <w:rPr>
          <w:b w:val="0"/>
        </w:rPr>
        <w:t>；灰带为相同聚合下</w:t>
      </w:r>
      <w:r>
        <w:rPr>
          <w:b w:val="0"/>
        </w:rPr>
        <w:t>5,000</w:t>
      </w:r>
      <w:r>
        <w:rPr>
          <w:b w:val="0"/>
        </w:rPr>
        <w:t>次随机秩置换形成的联合</w:t>
      </w:r>
      <w:r>
        <w:rPr>
          <w:b w:val="0"/>
        </w:rPr>
        <w:t>95%</w:t>
      </w:r>
      <w:r>
        <w:rPr>
          <w:b w:val="0"/>
        </w:rPr>
        <w:t>包络。</w:t>
      </w:r>
      <w:r>
        <w:rPr>
          <w:b w:val="0"/>
        </w:rPr>
        <w:t>B</w:t>
      </w:r>
      <w:r>
        <w:rPr>
          <w:b w:val="0"/>
        </w:rPr>
        <w:t>显示六级注入验证</w:t>
      </w:r>
      <w:r>
        <w:rPr>
          <w:b w:val="0"/>
        </w:rPr>
        <w:t>—</w:t>
      </w:r>
      <w:r>
        <w:rPr>
          <w:b w:val="0"/>
        </w:rPr>
        <w:t>审计信号下、四种候选数量的</w:t>
      </w:r>
      <w:r>
        <w:rPr>
          <w:b w:val="0"/>
        </w:rPr>
        <w:t>CAHit@3</w:t>
      </w:r>
      <w:r>
        <w:rPr>
          <w:b w:val="0"/>
        </w:rPr>
        <w:t>正对照恢复。</w:t>
      </w:r>
      <w:r>
        <w:rPr>
          <w:b w:val="0"/>
        </w:rPr>
        <w:t>C</w:t>
      </w:r>
      <w:r>
        <w:rPr>
          <w:b w:val="0"/>
        </w:rPr>
        <w:t>按任务分层显示分类</w:t>
      </w:r>
      <w:r>
        <w:rPr>
          <w:b w:val="0"/>
        </w:rPr>
        <w:t>ROC-AUC</w:t>
      </w:r>
      <w:r>
        <w:rPr>
          <w:b w:val="0"/>
        </w:rPr>
        <w:t>损失和回归</w:t>
      </w:r>
      <w:r>
        <w:rPr>
          <w:b w:val="0"/>
        </w:rPr>
        <w:t>RMSE</w:t>
      </w:r>
      <w:r>
        <w:rPr>
          <w:b w:val="0"/>
        </w:rPr>
        <w:t>损失及</w:t>
      </w:r>
      <w:r>
        <w:rPr>
          <w:b w:val="0"/>
        </w:rPr>
        <w:t>split-seed bootstrap 95%</w:t>
      </w:r>
      <w:r>
        <w:rPr>
          <w:b w:val="0"/>
        </w:rPr>
        <w:t>区间；实心点表示区间排除零，空心点表示区间跨零。</w:t>
      </w:r>
      <w:r>
        <w:rPr>
          <w:b w:val="0"/>
        </w:rPr>
        <w:t>D</w:t>
      </w:r>
      <w:r>
        <w:rPr>
          <w:b w:val="0"/>
        </w:rPr>
        <w:t>为登记前缀、随机顺序、随机子集和家族平衡控制；</w:t>
      </w:r>
      <w:r>
        <w:rPr>
          <w:b w:val="0"/>
        </w:rPr>
        <w:t>K=32</w:t>
      </w:r>
      <w:r>
        <w:rPr>
          <w:b w:val="0"/>
        </w:rPr>
        <w:t>时各模式按设计等于完整登记表。</w:t>
      </w:r>
    </w:p>
    <w:p w14:paraId="4333EB46" w14:textId="77777777" w:rsidR="00EE56A9" w:rsidRDefault="00721CC4">
      <w:pPr>
        <w:pStyle w:val="21"/>
        <w:spacing w:line="360" w:lineRule="auto"/>
      </w:pPr>
      <w:r>
        <w:rPr>
          <w:rFonts w:ascii="Times New Roman" w:eastAsia="黑体" w:hAnsi="Times New Roman"/>
          <w:b w:val="0"/>
        </w:rPr>
        <w:t xml:space="preserve">3.3 </w:t>
      </w:r>
      <w:r>
        <w:rPr>
          <w:rFonts w:ascii="Times New Roman" w:eastAsia="黑体" w:hAnsi="Times New Roman"/>
          <w:b w:val="0"/>
        </w:rPr>
        <w:t>审计差距分解区分机会与兑现</w:t>
      </w:r>
    </w:p>
    <w:p w14:paraId="39D5B1D9" w14:textId="77777777" w:rsidR="00EE56A9" w:rsidRDefault="00721CC4">
      <w:pPr>
        <w:spacing w:after="0" w:line="360" w:lineRule="auto"/>
      </w:pPr>
      <w:r>
        <w:t>K=32</w:t>
      </w:r>
      <w:r>
        <w:t>时，分类终点平均有限审计最佳收益为</w:t>
      </w:r>
      <w:r>
        <w:t>0.0311 ROC-AUC</w:t>
      </w:r>
      <w:r>
        <w:t>，所选模型收益为</w:t>
      </w:r>
      <w:r>
        <w:t>0.0173</w:t>
      </w:r>
      <w:r>
        <w:t>，增量审计差距为</w:t>
      </w:r>
      <w:r>
        <w:t>0.0138</w:t>
      </w:r>
      <w:r>
        <w:t>；</w:t>
      </w:r>
      <w:r>
        <w:t>K=4</w:t>
      </w:r>
      <w:r>
        <w:t>时分别为</w:t>
      </w:r>
      <w:r>
        <w:t>0.0028</w:t>
      </w:r>
      <w:r>
        <w:t>、</w:t>
      </w:r>
      <w:r>
        <w:t>−0.0014</w:t>
      </w:r>
      <w:r>
        <w:t>和</w:t>
      </w:r>
      <w:r>
        <w:t>0.0042</w:t>
      </w:r>
      <w:r>
        <w:t>。回归</w:t>
      </w:r>
      <w:r>
        <w:t>K=32</w:t>
      </w:r>
      <w:r>
        <w:t>时对应</w:t>
      </w:r>
      <w:r>
        <w:t>RMSE</w:t>
      </w:r>
      <w:r>
        <w:t>收益为</w:t>
      </w:r>
      <w:r>
        <w:t>0.8078</w:t>
      </w:r>
      <w:r>
        <w:t>、</w:t>
      </w:r>
      <w:r>
        <w:t>0.7378</w:t>
      </w:r>
      <w:r>
        <w:t>和</w:t>
      </w:r>
      <w:r>
        <w:t>0.0700</w:t>
      </w:r>
      <w:r>
        <w:t>，</w:t>
      </w:r>
      <w:r>
        <w:t>K=4</w:t>
      </w:r>
      <w:r>
        <w:t>时为</w:t>
      </w:r>
      <w:r>
        <w:t>0.7619</w:t>
      </w:r>
      <w:r>
        <w:t>、</w:t>
      </w:r>
      <w:r>
        <w:t>0.7442</w:t>
      </w:r>
      <w:r>
        <w:t>和</w:t>
      </w:r>
      <w:r>
        <w:t>0.0178</w:t>
      </w:r>
      <w:r>
        <w:t>。不同单位分开报告（图</w:t>
      </w:r>
      <w:r>
        <w:t>4A–B</w:t>
      </w:r>
      <w:r>
        <w:t>）。</w:t>
      </w:r>
    </w:p>
    <w:p w14:paraId="5614AE5E" w14:textId="77777777" w:rsidR="00EE56A9" w:rsidRDefault="00721CC4">
      <w:pPr>
        <w:jc w:val="center"/>
      </w:pPr>
      <w:r>
        <w:rPr>
          <w:noProof/>
        </w:rPr>
        <w:lastRenderedPageBreak/>
        <w:drawing>
          <wp:inline distT="0" distB="0" distL="0" distR="0" wp14:anchorId="4A6A078D" wp14:editId="60B08B9B">
            <wp:extent cx="5760720" cy="46678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selection_gap_and_winner_optimism.png"/>
                    <pic:cNvPicPr/>
                  </pic:nvPicPr>
                  <pic:blipFill>
                    <a:blip r:embed="rId14">
                      <a:extLst>
                        <a:ext uri="{96DAC541-7B7A-43D3-8B79-37D633B846F1}">
                          <asvg:svgBlip xmlns:asvg="http://schemas.microsoft.com/office/drawing/2016/SVG/main" r:embed="rId15"/>
                        </a:ext>
                      </a:extLst>
                    </a:blip>
                    <a:stretch>
                      <a:fillRect/>
                    </a:stretch>
                  </pic:blipFill>
                  <pic:spPr>
                    <a:xfrm>
                      <a:off x="0" y="0"/>
                      <a:ext cx="5760720" cy="4667817"/>
                    </a:xfrm>
                    <a:prstGeom prst="rect">
                      <a:avLst/>
                    </a:prstGeom>
                  </pic:spPr>
                </pic:pic>
              </a:graphicData>
            </a:graphic>
          </wp:inline>
        </w:drawing>
      </w:r>
    </w:p>
    <w:p w14:paraId="7272327F" w14:textId="77777777" w:rsidR="00EE56A9" w:rsidRDefault="00721CC4">
      <w:pPr>
        <w:pStyle w:val="af7"/>
        <w:spacing w:after="0" w:line="360" w:lineRule="auto"/>
      </w:pPr>
      <w:r>
        <w:rPr>
          <w:b w:val="0"/>
        </w:rPr>
        <w:t>图</w:t>
      </w:r>
      <w:r>
        <w:rPr>
          <w:b w:val="0"/>
        </w:rPr>
        <w:t xml:space="preserve">4 </w:t>
      </w:r>
      <w:r>
        <w:rPr>
          <w:b w:val="0"/>
        </w:rPr>
        <w:t>选择差距分解与赢家乐观偏差。</w:t>
      </w:r>
      <w:r>
        <w:rPr>
          <w:b w:val="0"/>
        </w:rPr>
        <w:t>A</w:t>
      </w:r>
      <w:r>
        <w:rPr>
          <w:b w:val="0"/>
        </w:rPr>
        <w:t>和</w:t>
      </w:r>
      <w:r>
        <w:rPr>
          <w:b w:val="0"/>
        </w:rPr>
        <w:t>B</w:t>
      </w:r>
      <w:r>
        <w:rPr>
          <w:b w:val="0"/>
        </w:rPr>
        <w:t>比较分类与回归的观测审计最佳收益和验证所选收益。</w:t>
      </w:r>
      <w:r>
        <w:rPr>
          <w:b w:val="0"/>
        </w:rPr>
        <w:t>C</w:t>
      </w:r>
      <w:r>
        <w:rPr>
          <w:b w:val="0"/>
        </w:rPr>
        <w:t>使用终点内标准化效应，在一个按任务分层的连续森林图中展示全部终点；原始</w:t>
      </w:r>
      <w:r>
        <w:rPr>
          <w:b w:val="0"/>
        </w:rPr>
        <w:t>ROC-AUC</w:t>
      </w:r>
      <w:r>
        <w:rPr>
          <w:b w:val="0"/>
        </w:rPr>
        <w:t>与</w:t>
      </w:r>
      <w:r>
        <w:rPr>
          <w:b w:val="0"/>
        </w:rPr>
        <w:t>RMSE</w:t>
      </w:r>
      <w:r>
        <w:rPr>
          <w:b w:val="0"/>
        </w:rPr>
        <w:t>效应另行列示。</w:t>
      </w:r>
      <w:r>
        <w:rPr>
          <w:b w:val="0"/>
        </w:rPr>
        <w:t>D</w:t>
      </w:r>
      <w:r>
        <w:rPr>
          <w:b w:val="0"/>
        </w:rPr>
        <w:t>显示候选真实效用相同时的有限审计赢家乐观偏差。</w:t>
      </w:r>
    </w:p>
    <w:p w14:paraId="220836FD" w14:textId="77777777" w:rsidR="00EE56A9" w:rsidRDefault="00721CC4">
      <w:pPr>
        <w:pStyle w:val="21"/>
        <w:spacing w:line="360" w:lineRule="auto"/>
      </w:pPr>
      <w:r>
        <w:rPr>
          <w:rFonts w:ascii="Times New Roman" w:eastAsia="黑体" w:hAnsi="Times New Roman"/>
          <w:b w:val="0"/>
        </w:rPr>
        <w:t xml:space="preserve">3.4 </w:t>
      </w:r>
      <w:r>
        <w:rPr>
          <w:rFonts w:ascii="Times New Roman" w:eastAsia="黑体" w:hAnsi="Times New Roman"/>
          <w:b w:val="0"/>
        </w:rPr>
        <w:t>交叉拟合效应在终点间异质</w:t>
      </w:r>
    </w:p>
    <w:p w14:paraId="30323D56" w14:textId="77777777" w:rsidR="00EE56A9" w:rsidRDefault="00721CC4">
      <w:pPr>
        <w:spacing w:after="0" w:line="360" w:lineRule="auto"/>
      </w:pPr>
      <w:r>
        <w:t>K=32</w:t>
      </w:r>
      <w:r>
        <w:t>相对</w:t>
      </w:r>
      <w:r>
        <w:t>K=4</w:t>
      </w:r>
      <w:r>
        <w:t>的交叉拟合效应在</w:t>
      </w:r>
      <w:r>
        <w:t>9</w:t>
      </w:r>
      <w:r>
        <w:t>个终点中的</w:t>
      </w:r>
      <w:r>
        <w:t>6</w:t>
      </w:r>
      <w:r>
        <w:t>个为正、</w:t>
      </w:r>
      <w:r>
        <w:t>3</w:t>
      </w:r>
      <w:r>
        <w:t>个为负。划分</w:t>
      </w:r>
      <w:r>
        <w:t>seed</w:t>
      </w:r>
      <w:r>
        <w:t>区间在分类</w:t>
      </w:r>
      <w:r>
        <w:t>ROC-AUC</w:t>
      </w:r>
      <w:r>
        <w:t>损失层的</w:t>
      </w:r>
      <w:r>
        <w:t>ClinTox</w:t>
      </w:r>
      <w:r>
        <w:t>、</w:t>
      </w:r>
      <w:r>
        <w:t>HIA</w:t>
      </w:r>
      <w:r>
        <w:t>和回归</w:t>
      </w:r>
      <w:r>
        <w:t>RMSE</w:t>
      </w:r>
      <w:r>
        <w:t>损失层的</w:t>
      </w:r>
      <w:r>
        <w:t>ESOL</w:t>
      </w:r>
      <w:r>
        <w:t>、</w:t>
      </w:r>
      <w:r>
        <w:t>FreeSolv</w:t>
      </w:r>
      <w:r>
        <w:t>、</w:t>
      </w:r>
      <w:r>
        <w:t>Lipophilicity</w:t>
      </w:r>
      <w:r>
        <w:t>排除零，其中</w:t>
      </w:r>
      <w:r>
        <w:t>FreeSolv</w:t>
      </w:r>
      <w:r>
        <w:t>为负。表</w:t>
      </w:r>
      <w:r>
        <w:t>3</w:t>
      </w:r>
      <w:r>
        <w:t>将估计值与</w:t>
      </w:r>
      <w:r>
        <w:t>95%</w:t>
      </w:r>
      <w:r>
        <w:t>区间合并在一个单元格，并仅以损失较大、损失较小或不确定标记方向，不合并两类任务的数值尺度（图</w:t>
      </w:r>
      <w:r>
        <w:t>3C</w:t>
      </w:r>
      <w:r>
        <w:t>、图</w:t>
      </w:r>
      <w:r>
        <w:t>4C</w:t>
      </w:r>
      <w:r>
        <w:t>；表</w:t>
      </w:r>
      <w:r>
        <w:t>S8</w:t>
      </w:r>
      <w:r>
        <w:t>）。</w:t>
      </w:r>
    </w:p>
    <w:p w14:paraId="1267D347" w14:textId="77777777" w:rsidR="00EE56A9" w:rsidRDefault="00721CC4">
      <w:pPr>
        <w:keepNext/>
        <w:spacing w:after="0" w:line="360" w:lineRule="auto"/>
      </w:pPr>
      <w:r>
        <w:rPr>
          <w:rFonts w:eastAsia="Times New Roman"/>
          <w:b/>
          <w:sz w:val="18"/>
        </w:rPr>
        <w:lastRenderedPageBreak/>
        <w:t>表3. 候选池扩张的交叉拟合效应。</w:t>
      </w:r>
    </w:p>
    <w:tbl>
      <w:tblPr>
        <w:tblStyle w:val="aff1"/>
        <w:tblW w:w="0" w:type="auto"/>
        <w:jc w:val="center"/>
        <w:tblLayout w:type="fixed"/>
        <w:tblLook w:val="04A0" w:firstRow="1" w:lastRow="0" w:firstColumn="1" w:lastColumn="0" w:noHBand="0" w:noVBand="1"/>
      </w:tblPr>
      <w:tblGrid>
        <w:gridCol w:w="2069"/>
        <w:gridCol w:w="4535"/>
        <w:gridCol w:w="2353"/>
      </w:tblGrid>
      <w:tr w:rsidR="00EE56A9" w14:paraId="3A266F4D" w14:textId="77777777">
        <w:trPr>
          <w:cantSplit/>
          <w:jc w:val="center"/>
        </w:trPr>
        <w:tc>
          <w:tcPr>
            <w:tcW w:w="2069" w:type="dxa"/>
            <w:vAlign w:val="center"/>
          </w:tcPr>
          <w:p w14:paraId="342105C3" w14:textId="77777777" w:rsidR="00EE56A9" w:rsidRDefault="00721CC4">
            <w:pPr>
              <w:keepLines/>
              <w:jc w:val="center"/>
            </w:pPr>
            <w:r>
              <w:rPr>
                <w:rFonts w:eastAsia="Times New Roman"/>
                <w:b/>
                <w:sz w:val="17"/>
              </w:rPr>
              <w:t>终点</w:t>
            </w:r>
          </w:p>
        </w:tc>
        <w:tc>
          <w:tcPr>
            <w:tcW w:w="4535" w:type="dxa"/>
            <w:vAlign w:val="center"/>
          </w:tcPr>
          <w:p w14:paraId="71E6E1CE" w14:textId="77777777" w:rsidR="00EE56A9" w:rsidRDefault="00721CC4">
            <w:pPr>
              <w:keepLines/>
              <w:jc w:val="center"/>
            </w:pPr>
            <w:r>
              <w:rPr>
                <w:rFonts w:eastAsia="Times New Roman"/>
                <w:b/>
                <w:sz w:val="17"/>
              </w:rPr>
              <w:t>效应（95%区间）</w:t>
            </w:r>
          </w:p>
        </w:tc>
        <w:tc>
          <w:tcPr>
            <w:tcW w:w="2353" w:type="dxa"/>
            <w:vAlign w:val="center"/>
          </w:tcPr>
          <w:p w14:paraId="41717F1E" w14:textId="77777777" w:rsidR="00EE56A9" w:rsidRDefault="00721CC4">
            <w:pPr>
              <w:keepLines/>
              <w:jc w:val="center"/>
            </w:pPr>
            <w:r>
              <w:rPr>
                <w:rFonts w:eastAsia="Times New Roman"/>
                <w:b/>
                <w:sz w:val="17"/>
              </w:rPr>
              <w:t>方向</w:t>
            </w:r>
          </w:p>
        </w:tc>
      </w:tr>
      <w:tr w:rsidR="00EE56A9" w14:paraId="68C0936B" w14:textId="77777777">
        <w:trPr>
          <w:cantSplit/>
          <w:jc w:val="center"/>
        </w:trPr>
        <w:tc>
          <w:tcPr>
            <w:tcW w:w="8957" w:type="dxa"/>
            <w:gridSpan w:val="3"/>
            <w:vAlign w:val="center"/>
          </w:tcPr>
          <w:p w14:paraId="6F88A8CC" w14:textId="77777777" w:rsidR="00EE56A9" w:rsidRDefault="00721CC4">
            <w:pPr>
              <w:keepLines/>
              <w:jc w:val="center"/>
            </w:pPr>
            <w:r>
              <w:rPr>
                <w:rFonts w:eastAsia="Times New Roman"/>
                <w:b/>
                <w:sz w:val="17"/>
              </w:rPr>
              <w:t>分类：ROC-AUC损失</w:t>
            </w:r>
          </w:p>
        </w:tc>
      </w:tr>
      <w:tr w:rsidR="00EE56A9" w14:paraId="37276444" w14:textId="77777777">
        <w:trPr>
          <w:cantSplit/>
          <w:jc w:val="center"/>
        </w:trPr>
        <w:tc>
          <w:tcPr>
            <w:tcW w:w="2069" w:type="dxa"/>
            <w:vAlign w:val="center"/>
          </w:tcPr>
          <w:p w14:paraId="3EE44CB5" w14:textId="77777777" w:rsidR="00EE56A9" w:rsidRDefault="00721CC4">
            <w:pPr>
              <w:keepLines/>
            </w:pPr>
            <w:r>
              <w:rPr>
                <w:rFonts w:eastAsia="Times New Roman"/>
                <w:sz w:val="17"/>
              </w:rPr>
              <w:t>BACE</w:t>
            </w:r>
          </w:p>
        </w:tc>
        <w:tc>
          <w:tcPr>
            <w:tcW w:w="4535" w:type="dxa"/>
            <w:vAlign w:val="center"/>
          </w:tcPr>
          <w:p w14:paraId="575F979D" w14:textId="77777777" w:rsidR="00EE56A9" w:rsidRDefault="00721CC4">
            <w:pPr>
              <w:keepLines/>
            </w:pPr>
            <w:r>
              <w:rPr>
                <w:rFonts w:eastAsia="Times New Roman"/>
                <w:sz w:val="17"/>
              </w:rPr>
              <w:t>0.0009 (-0.0046, 0.0048)</w:t>
            </w:r>
          </w:p>
        </w:tc>
        <w:tc>
          <w:tcPr>
            <w:tcW w:w="2353" w:type="dxa"/>
            <w:vAlign w:val="center"/>
          </w:tcPr>
          <w:p w14:paraId="09485667" w14:textId="77777777" w:rsidR="00EE56A9" w:rsidRDefault="00721CC4">
            <w:pPr>
              <w:keepLines/>
            </w:pPr>
            <w:r>
              <w:rPr>
                <w:rFonts w:eastAsia="Times New Roman"/>
                <w:sz w:val="17"/>
              </w:rPr>
              <w:t>不确定</w:t>
            </w:r>
          </w:p>
        </w:tc>
      </w:tr>
      <w:tr w:rsidR="00EE56A9" w14:paraId="30E22801" w14:textId="77777777">
        <w:trPr>
          <w:cantSplit/>
          <w:jc w:val="center"/>
        </w:trPr>
        <w:tc>
          <w:tcPr>
            <w:tcW w:w="2069" w:type="dxa"/>
            <w:vAlign w:val="center"/>
          </w:tcPr>
          <w:p w14:paraId="7D3E5D0A" w14:textId="77777777" w:rsidR="00EE56A9" w:rsidRDefault="00721CC4">
            <w:pPr>
              <w:keepLines/>
            </w:pPr>
            <w:r>
              <w:rPr>
                <w:rFonts w:eastAsia="Times New Roman"/>
                <w:sz w:val="17"/>
              </w:rPr>
              <w:t>BBBP</w:t>
            </w:r>
          </w:p>
        </w:tc>
        <w:tc>
          <w:tcPr>
            <w:tcW w:w="4535" w:type="dxa"/>
            <w:vAlign w:val="center"/>
          </w:tcPr>
          <w:p w14:paraId="5C844EC1" w14:textId="77777777" w:rsidR="00EE56A9" w:rsidRDefault="00721CC4">
            <w:pPr>
              <w:keepLines/>
            </w:pPr>
            <w:r>
              <w:rPr>
                <w:rFonts w:eastAsia="Times New Roman"/>
                <w:sz w:val="17"/>
              </w:rPr>
              <w:t>-0.0005 (-0.0017, 0.0008)</w:t>
            </w:r>
          </w:p>
        </w:tc>
        <w:tc>
          <w:tcPr>
            <w:tcW w:w="2353" w:type="dxa"/>
            <w:vAlign w:val="center"/>
          </w:tcPr>
          <w:p w14:paraId="5ACE2159" w14:textId="77777777" w:rsidR="00EE56A9" w:rsidRDefault="00721CC4">
            <w:pPr>
              <w:keepLines/>
            </w:pPr>
            <w:r>
              <w:rPr>
                <w:rFonts w:eastAsia="Times New Roman"/>
                <w:sz w:val="17"/>
              </w:rPr>
              <w:t>不确定</w:t>
            </w:r>
          </w:p>
        </w:tc>
      </w:tr>
      <w:tr w:rsidR="00EE56A9" w14:paraId="1B4DD729" w14:textId="77777777">
        <w:trPr>
          <w:cantSplit/>
          <w:jc w:val="center"/>
        </w:trPr>
        <w:tc>
          <w:tcPr>
            <w:tcW w:w="2069" w:type="dxa"/>
            <w:vAlign w:val="center"/>
          </w:tcPr>
          <w:p w14:paraId="6F256B94" w14:textId="77777777" w:rsidR="00EE56A9" w:rsidRDefault="00721CC4">
            <w:pPr>
              <w:keepLines/>
            </w:pPr>
            <w:r>
              <w:rPr>
                <w:rFonts w:eastAsia="Times New Roman"/>
                <w:sz w:val="17"/>
              </w:rPr>
              <w:t>ClinTox</w:t>
            </w:r>
          </w:p>
        </w:tc>
        <w:tc>
          <w:tcPr>
            <w:tcW w:w="4535" w:type="dxa"/>
            <w:vAlign w:val="center"/>
          </w:tcPr>
          <w:p w14:paraId="099CF5F8" w14:textId="77777777" w:rsidR="00EE56A9" w:rsidRDefault="00721CC4">
            <w:pPr>
              <w:keepLines/>
            </w:pPr>
            <w:r>
              <w:rPr>
                <w:rFonts w:eastAsia="Times New Roman"/>
                <w:sz w:val="17"/>
              </w:rPr>
              <w:t>0.0098 (0.0046, 0.0138)</w:t>
            </w:r>
          </w:p>
        </w:tc>
        <w:tc>
          <w:tcPr>
            <w:tcW w:w="2353" w:type="dxa"/>
            <w:vAlign w:val="center"/>
          </w:tcPr>
          <w:p w14:paraId="6594DF77" w14:textId="77777777" w:rsidR="00EE56A9" w:rsidRDefault="00721CC4">
            <w:pPr>
              <w:keepLines/>
            </w:pPr>
            <w:r>
              <w:rPr>
                <w:rFonts w:eastAsia="Times New Roman"/>
                <w:sz w:val="17"/>
              </w:rPr>
              <w:t>损失较大</w:t>
            </w:r>
          </w:p>
        </w:tc>
      </w:tr>
      <w:tr w:rsidR="00EE56A9" w14:paraId="79A85D0B" w14:textId="77777777">
        <w:trPr>
          <w:cantSplit/>
          <w:jc w:val="center"/>
        </w:trPr>
        <w:tc>
          <w:tcPr>
            <w:tcW w:w="2069" w:type="dxa"/>
            <w:vAlign w:val="center"/>
          </w:tcPr>
          <w:p w14:paraId="14440E33" w14:textId="77777777" w:rsidR="00EE56A9" w:rsidRDefault="00721CC4">
            <w:pPr>
              <w:keepLines/>
            </w:pPr>
            <w:r>
              <w:rPr>
                <w:rFonts w:eastAsia="Times New Roman"/>
                <w:sz w:val="17"/>
              </w:rPr>
              <w:t>HIA</w:t>
            </w:r>
          </w:p>
        </w:tc>
        <w:tc>
          <w:tcPr>
            <w:tcW w:w="4535" w:type="dxa"/>
            <w:vAlign w:val="center"/>
          </w:tcPr>
          <w:p w14:paraId="11E166E3" w14:textId="77777777" w:rsidR="00EE56A9" w:rsidRDefault="00721CC4">
            <w:pPr>
              <w:keepLines/>
            </w:pPr>
            <w:r>
              <w:rPr>
                <w:rFonts w:eastAsia="Times New Roman"/>
                <w:sz w:val="17"/>
              </w:rPr>
              <w:t>0.0176 (0.0107, 0.0245)</w:t>
            </w:r>
          </w:p>
        </w:tc>
        <w:tc>
          <w:tcPr>
            <w:tcW w:w="2353" w:type="dxa"/>
            <w:vAlign w:val="center"/>
          </w:tcPr>
          <w:p w14:paraId="0F34DA53" w14:textId="77777777" w:rsidR="00EE56A9" w:rsidRDefault="00721CC4">
            <w:pPr>
              <w:keepLines/>
            </w:pPr>
            <w:r>
              <w:rPr>
                <w:rFonts w:eastAsia="Times New Roman"/>
                <w:sz w:val="17"/>
              </w:rPr>
              <w:t>损失较大</w:t>
            </w:r>
          </w:p>
        </w:tc>
      </w:tr>
      <w:tr w:rsidR="00EE56A9" w14:paraId="484FB18F" w14:textId="77777777">
        <w:trPr>
          <w:cantSplit/>
          <w:jc w:val="center"/>
        </w:trPr>
        <w:tc>
          <w:tcPr>
            <w:tcW w:w="2069" w:type="dxa"/>
            <w:vAlign w:val="center"/>
          </w:tcPr>
          <w:p w14:paraId="4B06665B" w14:textId="77777777" w:rsidR="00EE56A9" w:rsidRDefault="00721CC4">
            <w:pPr>
              <w:keepLines/>
            </w:pPr>
            <w:r>
              <w:rPr>
                <w:rFonts w:eastAsia="Times New Roman"/>
                <w:sz w:val="17"/>
              </w:rPr>
              <w:t>P-gp</w:t>
            </w:r>
          </w:p>
        </w:tc>
        <w:tc>
          <w:tcPr>
            <w:tcW w:w="4535" w:type="dxa"/>
            <w:vAlign w:val="center"/>
          </w:tcPr>
          <w:p w14:paraId="4F919889" w14:textId="77777777" w:rsidR="00EE56A9" w:rsidRDefault="00721CC4">
            <w:pPr>
              <w:keepLines/>
            </w:pPr>
            <w:r>
              <w:rPr>
                <w:rFonts w:eastAsia="Times New Roman"/>
                <w:sz w:val="17"/>
              </w:rPr>
              <w:t>-0.0009 (-0.0052, 0.0026)</w:t>
            </w:r>
          </w:p>
        </w:tc>
        <w:tc>
          <w:tcPr>
            <w:tcW w:w="2353" w:type="dxa"/>
            <w:vAlign w:val="center"/>
          </w:tcPr>
          <w:p w14:paraId="1F9593B1" w14:textId="77777777" w:rsidR="00EE56A9" w:rsidRDefault="00721CC4">
            <w:pPr>
              <w:keepLines/>
            </w:pPr>
            <w:r>
              <w:rPr>
                <w:rFonts w:eastAsia="Times New Roman"/>
                <w:sz w:val="17"/>
              </w:rPr>
              <w:t>不确定</w:t>
            </w:r>
          </w:p>
        </w:tc>
      </w:tr>
      <w:tr w:rsidR="00EE56A9" w14:paraId="3B225BA1" w14:textId="77777777">
        <w:trPr>
          <w:cantSplit/>
          <w:jc w:val="center"/>
        </w:trPr>
        <w:tc>
          <w:tcPr>
            <w:tcW w:w="8957" w:type="dxa"/>
            <w:gridSpan w:val="3"/>
            <w:vAlign w:val="center"/>
          </w:tcPr>
          <w:p w14:paraId="345BA6FF" w14:textId="77777777" w:rsidR="00EE56A9" w:rsidRDefault="00721CC4">
            <w:pPr>
              <w:keepLines/>
              <w:jc w:val="center"/>
            </w:pPr>
            <w:r>
              <w:rPr>
                <w:rFonts w:eastAsia="Times New Roman"/>
                <w:b/>
                <w:sz w:val="17"/>
              </w:rPr>
              <w:t>回归：RMSE损失</w:t>
            </w:r>
          </w:p>
        </w:tc>
      </w:tr>
      <w:tr w:rsidR="00EE56A9" w14:paraId="3BC68E47" w14:textId="77777777">
        <w:trPr>
          <w:cantSplit/>
          <w:jc w:val="center"/>
        </w:trPr>
        <w:tc>
          <w:tcPr>
            <w:tcW w:w="2069" w:type="dxa"/>
            <w:vAlign w:val="center"/>
          </w:tcPr>
          <w:p w14:paraId="302204E8" w14:textId="77777777" w:rsidR="00EE56A9" w:rsidRDefault="00721CC4">
            <w:pPr>
              <w:keepLines/>
            </w:pPr>
            <w:r>
              <w:rPr>
                <w:rFonts w:eastAsia="Times New Roman"/>
                <w:sz w:val="17"/>
              </w:rPr>
              <w:t>ESOL</w:t>
            </w:r>
          </w:p>
        </w:tc>
        <w:tc>
          <w:tcPr>
            <w:tcW w:w="4535" w:type="dxa"/>
            <w:vAlign w:val="center"/>
          </w:tcPr>
          <w:p w14:paraId="242314D2" w14:textId="77777777" w:rsidR="00EE56A9" w:rsidRDefault="00721CC4">
            <w:pPr>
              <w:keepLines/>
            </w:pPr>
            <w:r>
              <w:rPr>
                <w:rFonts w:eastAsia="Times New Roman"/>
                <w:sz w:val="17"/>
              </w:rPr>
              <w:t>0.0573 (0.0411, 0.0751)</w:t>
            </w:r>
          </w:p>
        </w:tc>
        <w:tc>
          <w:tcPr>
            <w:tcW w:w="2353" w:type="dxa"/>
            <w:vAlign w:val="center"/>
          </w:tcPr>
          <w:p w14:paraId="70E27C46" w14:textId="77777777" w:rsidR="00EE56A9" w:rsidRDefault="00721CC4">
            <w:pPr>
              <w:keepLines/>
            </w:pPr>
            <w:r>
              <w:rPr>
                <w:rFonts w:eastAsia="Times New Roman"/>
                <w:sz w:val="17"/>
              </w:rPr>
              <w:t>损失较大</w:t>
            </w:r>
          </w:p>
        </w:tc>
      </w:tr>
      <w:tr w:rsidR="00EE56A9" w14:paraId="224B530A" w14:textId="77777777">
        <w:trPr>
          <w:cantSplit/>
          <w:jc w:val="center"/>
        </w:trPr>
        <w:tc>
          <w:tcPr>
            <w:tcW w:w="2069" w:type="dxa"/>
            <w:vAlign w:val="center"/>
          </w:tcPr>
          <w:p w14:paraId="4B4D1594" w14:textId="77777777" w:rsidR="00EE56A9" w:rsidRDefault="00721CC4">
            <w:pPr>
              <w:keepLines/>
            </w:pPr>
            <w:r>
              <w:rPr>
                <w:rFonts w:eastAsia="Times New Roman"/>
                <w:sz w:val="17"/>
              </w:rPr>
              <w:t>FreeSolv</w:t>
            </w:r>
          </w:p>
        </w:tc>
        <w:tc>
          <w:tcPr>
            <w:tcW w:w="4535" w:type="dxa"/>
            <w:vAlign w:val="center"/>
          </w:tcPr>
          <w:p w14:paraId="6741BC29" w14:textId="77777777" w:rsidR="00EE56A9" w:rsidRDefault="00721CC4">
            <w:pPr>
              <w:keepLines/>
            </w:pPr>
            <w:r>
              <w:rPr>
                <w:rFonts w:eastAsia="Times New Roman"/>
                <w:sz w:val="17"/>
              </w:rPr>
              <w:t>-0.0641 (-0.1095, -0.0157)</w:t>
            </w:r>
          </w:p>
        </w:tc>
        <w:tc>
          <w:tcPr>
            <w:tcW w:w="2353" w:type="dxa"/>
            <w:vAlign w:val="center"/>
          </w:tcPr>
          <w:p w14:paraId="5FDC523A" w14:textId="77777777" w:rsidR="00EE56A9" w:rsidRDefault="00721CC4">
            <w:pPr>
              <w:keepLines/>
            </w:pPr>
            <w:r>
              <w:rPr>
                <w:rFonts w:eastAsia="Times New Roman"/>
                <w:sz w:val="17"/>
              </w:rPr>
              <w:t>损失较小</w:t>
            </w:r>
          </w:p>
        </w:tc>
      </w:tr>
      <w:tr w:rsidR="00EE56A9" w14:paraId="32E957B3" w14:textId="77777777">
        <w:trPr>
          <w:cantSplit/>
          <w:jc w:val="center"/>
        </w:trPr>
        <w:tc>
          <w:tcPr>
            <w:tcW w:w="2069" w:type="dxa"/>
            <w:vAlign w:val="center"/>
          </w:tcPr>
          <w:p w14:paraId="3EBD638D" w14:textId="77777777" w:rsidR="00EE56A9" w:rsidRDefault="00721CC4">
            <w:pPr>
              <w:keepLines/>
            </w:pPr>
            <w:r>
              <w:rPr>
                <w:rFonts w:eastAsia="Times New Roman"/>
                <w:sz w:val="17"/>
              </w:rPr>
              <w:t>Lipophilicity</w:t>
            </w:r>
          </w:p>
        </w:tc>
        <w:tc>
          <w:tcPr>
            <w:tcW w:w="4535" w:type="dxa"/>
            <w:vAlign w:val="center"/>
          </w:tcPr>
          <w:p w14:paraId="02A0E58D" w14:textId="77777777" w:rsidR="00EE56A9" w:rsidRDefault="00721CC4">
            <w:pPr>
              <w:keepLines/>
            </w:pPr>
            <w:r>
              <w:rPr>
                <w:rFonts w:eastAsia="Times New Roman"/>
                <w:sz w:val="17"/>
              </w:rPr>
              <w:t>0.0085 (0.0069, 0.0102)</w:t>
            </w:r>
          </w:p>
        </w:tc>
        <w:tc>
          <w:tcPr>
            <w:tcW w:w="2353" w:type="dxa"/>
            <w:vAlign w:val="center"/>
          </w:tcPr>
          <w:p w14:paraId="71931714" w14:textId="77777777" w:rsidR="00EE56A9" w:rsidRDefault="00721CC4">
            <w:pPr>
              <w:keepLines/>
            </w:pPr>
            <w:r>
              <w:rPr>
                <w:rFonts w:eastAsia="Times New Roman"/>
                <w:sz w:val="17"/>
              </w:rPr>
              <w:t>损失较大</w:t>
            </w:r>
          </w:p>
        </w:tc>
      </w:tr>
      <w:tr w:rsidR="00EE56A9" w14:paraId="61CED077" w14:textId="77777777">
        <w:trPr>
          <w:cantSplit/>
          <w:jc w:val="center"/>
        </w:trPr>
        <w:tc>
          <w:tcPr>
            <w:tcW w:w="2069" w:type="dxa"/>
            <w:vAlign w:val="center"/>
          </w:tcPr>
          <w:p w14:paraId="3CD63B21" w14:textId="77777777" w:rsidR="00EE56A9" w:rsidRDefault="00721CC4">
            <w:pPr>
              <w:keepLines/>
            </w:pPr>
            <w:r>
              <w:rPr>
                <w:rFonts w:eastAsia="Times New Roman"/>
                <w:sz w:val="17"/>
              </w:rPr>
              <w:t>Caco2</w:t>
            </w:r>
          </w:p>
        </w:tc>
        <w:tc>
          <w:tcPr>
            <w:tcW w:w="4535" w:type="dxa"/>
            <w:vAlign w:val="center"/>
          </w:tcPr>
          <w:p w14:paraId="01A7374F" w14:textId="77777777" w:rsidR="00EE56A9" w:rsidRDefault="00721CC4">
            <w:pPr>
              <w:keepLines/>
            </w:pPr>
            <w:r>
              <w:rPr>
                <w:rFonts w:eastAsia="Times New Roman"/>
                <w:sz w:val="17"/>
              </w:rPr>
              <w:t>0.0062 (-0.0038, 0.0162)</w:t>
            </w:r>
          </w:p>
        </w:tc>
        <w:tc>
          <w:tcPr>
            <w:tcW w:w="2353" w:type="dxa"/>
            <w:vAlign w:val="center"/>
          </w:tcPr>
          <w:p w14:paraId="07018EC5" w14:textId="77777777" w:rsidR="00EE56A9" w:rsidRDefault="00721CC4">
            <w:pPr>
              <w:keepLines/>
            </w:pPr>
            <w:r>
              <w:rPr>
                <w:rFonts w:eastAsia="Times New Roman"/>
                <w:sz w:val="17"/>
              </w:rPr>
              <w:t>不确定</w:t>
            </w:r>
          </w:p>
        </w:tc>
      </w:tr>
    </w:tbl>
    <w:p w14:paraId="562053B6" w14:textId="77777777" w:rsidR="00EE56A9" w:rsidRDefault="00721CC4">
      <w:pPr>
        <w:keepLines/>
      </w:pPr>
      <w:r>
        <w:rPr>
          <w:rFonts w:eastAsia="Times New Roman"/>
          <w:i/>
          <w:sz w:val="17"/>
        </w:rPr>
        <w:t>效应定义为K=32减K=4。正效应表示K=32时模型选择损失更大。分类与回归效应使用不同单位，不进行合并。</w:t>
      </w:r>
    </w:p>
    <w:p w14:paraId="3138539F" w14:textId="77777777" w:rsidR="00EE56A9" w:rsidRDefault="00721CC4">
      <w:pPr>
        <w:pStyle w:val="21"/>
        <w:spacing w:line="360" w:lineRule="auto"/>
      </w:pPr>
      <w:r>
        <w:rPr>
          <w:rFonts w:ascii="Times New Roman" w:eastAsia="黑体" w:hAnsi="Times New Roman"/>
          <w:b w:val="0"/>
        </w:rPr>
        <w:t xml:space="preserve">3.5 </w:t>
      </w:r>
      <w:r>
        <w:rPr>
          <w:rFonts w:ascii="Times New Roman" w:eastAsia="黑体" w:hAnsi="Times New Roman"/>
          <w:b w:val="0"/>
        </w:rPr>
        <w:t>有限审计最大值包含赢家乐观偏差</w:t>
      </w:r>
    </w:p>
    <w:p w14:paraId="58ECC0D2" w14:textId="77777777" w:rsidR="00EE56A9" w:rsidRDefault="00721CC4">
      <w:pPr>
        <w:spacing w:after="0" w:line="360" w:lineRule="auto"/>
      </w:pPr>
      <w:r>
        <w:t>在候选相关为</w:t>
      </w:r>
      <w:r>
        <w:t>0.9</w:t>
      </w:r>
      <w:r>
        <w:t>、有效审计量为</w:t>
      </w:r>
      <w:r>
        <w:t>50</w:t>
      </w:r>
      <w:r>
        <w:t>且候选真实效用相同的模拟中，平均赢家乐观偏差由</w:t>
      </w:r>
      <w:r>
        <w:t>K=4</w:t>
      </w:r>
      <w:r>
        <w:t>时的</w:t>
      </w:r>
      <w:r>
        <w:t>0.046</w:t>
      </w:r>
      <w:r>
        <w:t>个标准差增至</w:t>
      </w:r>
      <w:r>
        <w:t>K=32</w:t>
      </w:r>
      <w:r>
        <w:t>时的</w:t>
      </w:r>
      <w:r>
        <w:t>0.092</w:t>
      </w:r>
      <w:r>
        <w:t>个标准差。</w:t>
      </w:r>
      <w:r>
        <w:t>K</w:t>
      </w:r>
      <w:r>
        <w:t>增加、有效审计量减小或候选相关降低时，有限最大值的乐观偏差增大（图</w:t>
      </w:r>
      <w:r>
        <w:t>4C–D</w:t>
      </w:r>
      <w:r>
        <w:t>）。</w:t>
      </w:r>
    </w:p>
    <w:p w14:paraId="0DAE0BC3" w14:textId="77777777" w:rsidR="00EE56A9" w:rsidRDefault="00721CC4">
      <w:pPr>
        <w:pStyle w:val="21"/>
        <w:spacing w:line="360" w:lineRule="auto"/>
      </w:pPr>
      <w:r>
        <w:rPr>
          <w:rFonts w:ascii="Times New Roman" w:eastAsia="黑体" w:hAnsi="Times New Roman"/>
          <w:b w:val="0"/>
        </w:rPr>
        <w:t xml:space="preserve">3.6 </w:t>
      </w:r>
      <w:r>
        <w:rPr>
          <w:rFonts w:ascii="Times New Roman" w:eastAsia="黑体" w:hAnsi="Times New Roman"/>
          <w:b w:val="0"/>
        </w:rPr>
        <w:t>等规模多视图收益具有终点依赖性</w:t>
      </w:r>
    </w:p>
    <w:p w14:paraId="6905F8A7" w14:textId="77777777" w:rsidR="00EE56A9" w:rsidRDefault="00721CC4">
      <w:pPr>
        <w:spacing w:after="0" w:line="360" w:lineRule="auto"/>
      </w:pPr>
      <w:r>
        <w:t>完整</w:t>
      </w:r>
      <w:r>
        <w:t>220</w:t>
      </w:r>
      <w:r>
        <w:t>个</w:t>
      </w:r>
      <w:r>
        <w:t>K=3</w:t>
      </w:r>
      <w:r>
        <w:t>子集中，终点中位收益在</w:t>
      </w:r>
      <w:r>
        <w:t>BBBP</w:t>
      </w:r>
      <w:r>
        <w:t>、</w:t>
      </w:r>
      <w:r>
        <w:t>ClinTox</w:t>
      </w:r>
      <w:r>
        <w:t>、</w:t>
      </w:r>
      <w:r>
        <w:t>ESOL</w:t>
      </w:r>
      <w:r>
        <w:t>、</w:t>
      </w:r>
      <w:r>
        <w:t>FreeSolv</w:t>
      </w:r>
      <w:r>
        <w:t>、</w:t>
      </w:r>
      <w:r>
        <w:t>Lipophilicity</w:t>
      </w:r>
      <w:r>
        <w:t>、</w:t>
      </w:r>
      <w:r>
        <w:t>Caco2</w:t>
      </w:r>
      <w:r>
        <w:t>、</w:t>
      </w:r>
      <w:r>
        <w:t>HIA</w:t>
      </w:r>
      <w:r>
        <w:t>、</w:t>
      </w:r>
      <w:r>
        <w:t>P-gp</w:t>
      </w:r>
      <w:r>
        <w:t>为正，在</w:t>
      </w:r>
      <w:r>
        <w:t>BACE</w:t>
      </w:r>
      <w:r>
        <w:t>为负。各终点正平均收益子集比例介于</w:t>
      </w:r>
      <w:r>
        <w:t>0.318</w:t>
      </w:r>
      <w:r>
        <w:t>和</w:t>
      </w:r>
      <w:r>
        <w:t>0.995</w:t>
      </w:r>
      <w:r>
        <w:t>。这些比例描述固定登记表中的组成空间，不把重叠子集数量解释为统计功效（图</w:t>
      </w:r>
      <w:r>
        <w:t>5</w:t>
      </w:r>
      <w:r>
        <w:t>；补充表</w:t>
      </w:r>
      <w:r>
        <w:t>S9–S10</w:t>
      </w:r>
      <w:r>
        <w:t>）。</w:t>
      </w:r>
    </w:p>
    <w:p w14:paraId="2520FD14" w14:textId="77777777" w:rsidR="00EE56A9" w:rsidRDefault="00721CC4">
      <w:pPr>
        <w:jc w:val="center"/>
      </w:pPr>
      <w:r>
        <w:rPr>
          <w:noProof/>
        </w:rPr>
        <w:lastRenderedPageBreak/>
        <w:drawing>
          <wp:inline distT="0" distB="0" distL="0" distR="0" wp14:anchorId="6FE89BE9" wp14:editId="49B23B58">
            <wp:extent cx="5760720" cy="41737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atched_size_multiview_composition.png"/>
                    <pic:cNvPicPr/>
                  </pic:nvPicPr>
                  <pic:blipFill>
                    <a:blip r:embed="rId16">
                      <a:extLst>
                        <a:ext uri="{96DAC541-7B7A-43D3-8B79-37D633B846F1}">
                          <asvg:svgBlip xmlns:asvg="http://schemas.microsoft.com/office/drawing/2016/SVG/main" r:embed="rId17"/>
                        </a:ext>
                      </a:extLst>
                    </a:blip>
                    <a:stretch>
                      <a:fillRect/>
                    </a:stretch>
                  </pic:blipFill>
                  <pic:spPr>
                    <a:xfrm>
                      <a:off x="0" y="0"/>
                      <a:ext cx="5760720" cy="4173751"/>
                    </a:xfrm>
                    <a:prstGeom prst="rect">
                      <a:avLst/>
                    </a:prstGeom>
                  </pic:spPr>
                </pic:pic>
              </a:graphicData>
            </a:graphic>
          </wp:inline>
        </w:drawing>
      </w:r>
    </w:p>
    <w:p w14:paraId="7D99BD02" w14:textId="77777777" w:rsidR="00EE56A9" w:rsidRDefault="00721CC4">
      <w:pPr>
        <w:pStyle w:val="af7"/>
        <w:spacing w:after="0" w:line="360" w:lineRule="auto"/>
      </w:pPr>
      <w:r>
        <w:rPr>
          <w:b w:val="0"/>
        </w:rPr>
        <w:t>图</w:t>
      </w:r>
      <w:r>
        <w:rPr>
          <w:b w:val="0"/>
        </w:rPr>
        <w:t xml:space="preserve">5 </w:t>
      </w:r>
      <w:r>
        <w:rPr>
          <w:b w:val="0"/>
        </w:rPr>
        <w:t>等规模表征组成效应。</w:t>
      </w:r>
      <w:r>
        <w:rPr>
          <w:b w:val="0"/>
        </w:rPr>
        <w:t>A</w:t>
      </w:r>
      <w:r>
        <w:rPr>
          <w:b w:val="0"/>
        </w:rPr>
        <w:t>展示全部</w:t>
      </w:r>
      <w:r>
        <w:rPr>
          <w:b w:val="0"/>
        </w:rPr>
        <w:t>220</w:t>
      </w:r>
      <w:r>
        <w:rPr>
          <w:b w:val="0"/>
        </w:rPr>
        <w:t>个登记</w:t>
      </w:r>
      <w:r>
        <w:rPr>
          <w:b w:val="0"/>
        </w:rPr>
        <w:t>K=3</w:t>
      </w:r>
      <w:r>
        <w:rPr>
          <w:b w:val="0"/>
        </w:rPr>
        <w:t>子集的终点特异性分布。</w:t>
      </w:r>
      <w:r>
        <w:rPr>
          <w:b w:val="0"/>
        </w:rPr>
        <w:t>B</w:t>
      </w:r>
      <w:r>
        <w:rPr>
          <w:b w:val="0"/>
        </w:rPr>
        <w:t>汇总互斥的组成类别。</w:t>
      </w:r>
      <w:r>
        <w:rPr>
          <w:b w:val="0"/>
        </w:rPr>
        <w:t>C</w:t>
      </w:r>
      <w:r>
        <w:rPr>
          <w:b w:val="0"/>
        </w:rPr>
        <w:t>展示</w:t>
      </w:r>
      <w:r>
        <w:rPr>
          <w:b w:val="0"/>
        </w:rPr>
        <w:t>K=3</w:t>
      </w:r>
      <w:r>
        <w:rPr>
          <w:b w:val="0"/>
        </w:rPr>
        <w:t>、</w:t>
      </w:r>
      <w:r>
        <w:rPr>
          <w:b w:val="0"/>
        </w:rPr>
        <w:t>6</w:t>
      </w:r>
      <w:r>
        <w:rPr>
          <w:b w:val="0"/>
        </w:rPr>
        <w:t>、</w:t>
      </w:r>
      <w:r>
        <w:rPr>
          <w:b w:val="0"/>
        </w:rPr>
        <w:t>9</w:t>
      </w:r>
      <w:r>
        <w:rPr>
          <w:b w:val="0"/>
        </w:rPr>
        <w:t>和</w:t>
      </w:r>
      <w:r>
        <w:rPr>
          <w:b w:val="0"/>
        </w:rPr>
        <w:t>12</w:t>
      </w:r>
      <w:r>
        <w:rPr>
          <w:b w:val="0"/>
        </w:rPr>
        <w:t>阶梯。</w:t>
      </w:r>
      <w:r>
        <w:rPr>
          <w:b w:val="0"/>
        </w:rPr>
        <w:t>D</w:t>
      </w:r>
      <w:r>
        <w:rPr>
          <w:b w:val="0"/>
        </w:rPr>
        <w:t>使用终点</w:t>
      </w:r>
      <w:r>
        <w:rPr>
          <w:b w:val="0"/>
        </w:rPr>
        <w:t>MAD</w:t>
      </w:r>
      <w:r>
        <w:rPr>
          <w:b w:val="0"/>
        </w:rPr>
        <w:t>标准化效应，在一个连续森林图中展示全部终点；原始</w:t>
      </w:r>
      <w:r>
        <w:rPr>
          <w:b w:val="0"/>
        </w:rPr>
        <w:t>ROC-AUC</w:t>
      </w:r>
      <w:r>
        <w:rPr>
          <w:b w:val="0"/>
        </w:rPr>
        <w:t>收益和</w:t>
      </w:r>
      <w:r>
        <w:rPr>
          <w:b w:val="0"/>
        </w:rPr>
        <w:t>RMSE</w:t>
      </w:r>
      <w:r>
        <w:rPr>
          <w:b w:val="0"/>
        </w:rPr>
        <w:t>降低另行列示。</w:t>
      </w:r>
    </w:p>
    <w:p w14:paraId="0DF4E047" w14:textId="77777777" w:rsidR="00EE56A9" w:rsidRDefault="00721CC4">
      <w:pPr>
        <w:pStyle w:val="21"/>
        <w:spacing w:line="360" w:lineRule="auto"/>
      </w:pPr>
      <w:r>
        <w:rPr>
          <w:rFonts w:ascii="Times New Roman" w:eastAsia="黑体" w:hAnsi="Times New Roman"/>
          <w:b w:val="0"/>
        </w:rPr>
        <w:t xml:space="preserve">3.7 </w:t>
      </w:r>
      <w:r>
        <w:rPr>
          <w:rFonts w:ascii="Times New Roman" w:eastAsia="黑体" w:hAnsi="Times New Roman"/>
          <w:b w:val="0"/>
        </w:rPr>
        <w:t>表征错误相关但具有部分互补性</w:t>
      </w:r>
    </w:p>
    <w:p w14:paraId="064CC2A9" w14:textId="77777777" w:rsidR="00EE56A9" w:rsidRDefault="00721CC4">
      <w:pPr>
        <w:spacing w:after="0" w:line="360" w:lineRule="auto"/>
      </w:pPr>
      <w:r>
        <w:t>四模型面板的预测相关和高错误</w:t>
      </w:r>
      <w:r>
        <w:t>Jaccard</w:t>
      </w:r>
      <w:r>
        <w:t>重叠均明显高于零，预测谱熵有效秩低于名义</w:t>
      </w:r>
      <w:r>
        <w:t>4</w:t>
      </w:r>
      <w:r>
        <w:t>。候选错误既非独立也非完全相同。由于训练预算不等，这些结果仅说明固定配置下的错误结构，不能形成现代架构性能排序（图</w:t>
      </w:r>
      <w:r>
        <w:t>6A</w:t>
      </w:r>
      <w:r>
        <w:t>）。</w:t>
      </w:r>
    </w:p>
    <w:p w14:paraId="49D49015" w14:textId="77777777" w:rsidR="00EE56A9" w:rsidRDefault="00721CC4">
      <w:pPr>
        <w:pStyle w:val="21"/>
        <w:spacing w:line="360" w:lineRule="auto"/>
      </w:pPr>
      <w:r>
        <w:rPr>
          <w:rFonts w:ascii="Times New Roman" w:eastAsia="黑体" w:hAnsi="Times New Roman"/>
          <w:b w:val="0"/>
        </w:rPr>
        <w:t xml:space="preserve">3.8 </w:t>
      </w:r>
      <w:r>
        <w:rPr>
          <w:rFonts w:ascii="Times New Roman" w:eastAsia="黑体" w:hAnsi="Times New Roman"/>
          <w:b w:val="0"/>
        </w:rPr>
        <w:t>化学边界处可靠性下降</w:t>
      </w:r>
    </w:p>
    <w:p w14:paraId="7AA8426D" w14:textId="77777777" w:rsidR="00EE56A9" w:rsidRDefault="00721CC4">
      <w:pPr>
        <w:spacing w:after="0" w:line="360" w:lineRule="auto"/>
      </w:pPr>
      <w:r>
        <w:t>分类终点在低、中、高</w:t>
      </w:r>
      <w:r>
        <w:t>Tanimoto</w:t>
      </w:r>
      <w:r>
        <w:t>支持下的审计单元中位</w:t>
      </w:r>
      <w:r>
        <w:t>ROC-AUC</w:t>
      </w:r>
      <w:r>
        <w:t>分别为</w:t>
      </w:r>
      <w:r>
        <w:t>0.842</w:t>
      </w:r>
      <w:r>
        <w:t>、</w:t>
      </w:r>
      <w:r>
        <w:t>0.914</w:t>
      </w:r>
      <w:r>
        <w:t>和</w:t>
      </w:r>
      <w:r>
        <w:t>0.925</w:t>
      </w:r>
      <w:r>
        <w:t>；回归中位</w:t>
      </w:r>
      <w:r>
        <w:t>RMSE</w:t>
      </w:r>
      <w:r>
        <w:t>分别为</w:t>
      </w:r>
      <w:r>
        <w:t>1.337</w:t>
      </w:r>
      <w:r>
        <w:t>、</w:t>
      </w:r>
      <w:r>
        <w:t>1.097</w:t>
      </w:r>
      <w:r>
        <w:t>和</w:t>
      </w:r>
      <w:r>
        <w:t>0.767</w:t>
      </w:r>
      <w:r>
        <w:t>。新颖骨架以已见或相关骨架为</w:t>
      </w:r>
      <w:r>
        <w:t>reference = 1</w:t>
      </w:r>
      <w:r>
        <w:t>报告错误重叠、分歧和高错误富集相对变化（图</w:t>
      </w:r>
      <w:r>
        <w:t>6B–C</w:t>
      </w:r>
      <w:r>
        <w:t>）。</w:t>
      </w:r>
    </w:p>
    <w:p w14:paraId="240956C5" w14:textId="77777777" w:rsidR="00EE56A9" w:rsidRDefault="00721CC4">
      <w:pPr>
        <w:spacing w:after="0" w:line="360" w:lineRule="auto"/>
      </w:pPr>
      <w:r>
        <w:lastRenderedPageBreak/>
        <w:t>ClinTox</w:t>
      </w:r>
      <w:r>
        <w:t>面板将</w:t>
      </w:r>
      <w:r>
        <w:t>ROC-AUC</w:t>
      </w:r>
      <w:r>
        <w:t>、</w:t>
      </w:r>
      <w:r>
        <w:t>PR-AUC</w:t>
      </w:r>
      <w:r>
        <w:t>、少数类召回、假阴性率、条件覆盖率和预测集大小分区显示，不把不同可靠性量合并为单一性能排名（图</w:t>
      </w:r>
      <w:r>
        <w:t>6D</w:t>
      </w:r>
      <w:r>
        <w:t>）。</w:t>
      </w:r>
    </w:p>
    <w:p w14:paraId="1552911F" w14:textId="77777777" w:rsidR="00EE56A9" w:rsidRDefault="00721CC4">
      <w:pPr>
        <w:jc w:val="center"/>
      </w:pPr>
      <w:r>
        <w:rPr>
          <w:noProof/>
        </w:rPr>
        <w:drawing>
          <wp:inline distT="0" distB="0" distL="0" distR="0" wp14:anchorId="559B88FE" wp14:editId="4AE352F0">
            <wp:extent cx="5760720" cy="42090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prediction_errors_across_chemical_support.png"/>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4209082"/>
                    </a:xfrm>
                    <a:prstGeom prst="rect">
                      <a:avLst/>
                    </a:prstGeom>
                  </pic:spPr>
                </pic:pic>
              </a:graphicData>
            </a:graphic>
          </wp:inline>
        </w:drawing>
      </w:r>
    </w:p>
    <w:p w14:paraId="1B9605AA" w14:textId="77777777" w:rsidR="00EE56A9" w:rsidRDefault="00721CC4">
      <w:pPr>
        <w:pStyle w:val="af7"/>
        <w:spacing w:after="0" w:line="360" w:lineRule="auto"/>
      </w:pPr>
      <w:r>
        <w:t>图</w:t>
      </w:r>
      <w:r>
        <w:t xml:space="preserve">6 </w:t>
      </w:r>
      <w:r>
        <w:t>化学支持边界下的预测可靠性。</w:t>
      </w:r>
      <w:r>
        <w:t>A</w:t>
      </w:r>
      <w:r>
        <w:t>在对称四模型矩阵中合并预测相关与高错误</w:t>
      </w:r>
      <w:r>
        <w:t>Jaccard</w:t>
      </w:r>
      <w:r>
        <w:t>重叠，并使用两个独立色标。</w:t>
      </w:r>
      <w:r>
        <w:t>B</w:t>
      </w:r>
      <w:r>
        <w:t>将分类</w:t>
      </w:r>
      <w:r>
        <w:t>ROC-AUC</w:t>
      </w:r>
      <w:r>
        <w:t>、回归</w:t>
      </w:r>
      <w:r>
        <w:t>RMSE</w:t>
      </w:r>
      <w:r>
        <w:t>、分类假阴性率以及分类和回归高错误富集整合为</w:t>
      </w:r>
      <w:r>
        <w:t>Tanimoto</w:t>
      </w:r>
      <w:r>
        <w:t>支持风险矩阵；单元格文字给出自然尺度中位数，颜色仅编码行内不利方向。</w:t>
      </w:r>
      <w:r>
        <w:t>C</w:t>
      </w:r>
      <w:r>
        <w:t>在对数比值轴上报告新骨架相对于已见或相关骨架的错误重叠、模型分歧、高错误富集和假阴性富集变化。</w:t>
      </w:r>
      <w:r>
        <w:t>D</w:t>
      </w:r>
      <w:r>
        <w:t>将四个固定配置模型的判别能力与少数类安全性指标分组展示；预测集大小仅为绘图从</w:t>
      </w:r>
      <w:r>
        <w:t>1–2</w:t>
      </w:r>
      <w:r>
        <w:t>尺度映射至</w:t>
      </w:r>
      <w:r>
        <w:t>0–1</w:t>
      </w:r>
      <w:r>
        <w:t>。</w:t>
      </w:r>
    </w:p>
    <w:p w14:paraId="65641576" w14:textId="77777777" w:rsidR="00EE56A9" w:rsidRDefault="00721CC4">
      <w:pPr>
        <w:pStyle w:val="21"/>
      </w:pPr>
      <w:r>
        <w:rPr>
          <w:rFonts w:ascii="Times New Roman" w:eastAsia="宋体" w:hAnsi="Times New Roman"/>
          <w:sz w:val="22"/>
        </w:rPr>
        <w:t xml:space="preserve">3.9 </w:t>
      </w:r>
      <w:r>
        <w:rPr>
          <w:rFonts w:ascii="Times New Roman" w:eastAsia="宋体" w:hAnsi="Times New Roman"/>
          <w:sz w:val="22"/>
        </w:rPr>
        <w:t>结构分离下审计方向迁移但效应大小改变</w:t>
      </w:r>
    </w:p>
    <w:p w14:paraId="4B982D61" w14:textId="77777777" w:rsidR="00EE56A9" w:rsidRDefault="00721CC4">
      <w:r>
        <w:t>结构相似度聚类重跑完成</w:t>
      </w:r>
      <w:r>
        <w:t>1,440</w:t>
      </w:r>
      <w:r>
        <w:t>个外层和</w:t>
      </w:r>
      <w:r>
        <w:t>4,320</w:t>
      </w:r>
      <w:r>
        <w:t>个内层候选效用评价，无随机切分回退。三个终点各有</w:t>
      </w:r>
      <w:r>
        <w:t>15</w:t>
      </w:r>
      <w:r>
        <w:t>个不同外层折分配，内外层相似度分量完全分离，测试折含</w:t>
      </w:r>
      <w:r>
        <w:t>376-505</w:t>
      </w:r>
      <w:r>
        <w:t>个分子，最大跨折</w:t>
      </w:r>
      <w:r>
        <w:t>Tanimoto</w:t>
      </w:r>
      <w:r>
        <w:t>为</w:t>
      </w:r>
      <w:r>
        <w:t>0.699</w:t>
      </w:r>
      <w:r>
        <w:t>。该分析对应的</w:t>
      </w:r>
      <w:r>
        <w:t>5,760</w:t>
      </w:r>
      <w:r>
        <w:t>次候选拟合作为独立审计组成列入表</w:t>
      </w:r>
      <w:r>
        <w:t>2</w:t>
      </w:r>
      <w:r>
        <w:t>（补充表</w:t>
      </w:r>
      <w:r>
        <w:t>S26</w:t>
      </w:r>
      <w:r>
        <w:t>）。</w:t>
      </w:r>
    </w:p>
    <w:p w14:paraId="2811B017" w14:textId="77777777" w:rsidR="00EE56A9" w:rsidRDefault="00721CC4">
      <w:r>
        <w:rPr>
          <w:sz w:val="22"/>
        </w:rPr>
        <w:lastRenderedPageBreak/>
        <w:t>BACE</w:t>
      </w:r>
      <w:r>
        <w:rPr>
          <w:sz w:val="22"/>
        </w:rPr>
        <w:t>、</w:t>
      </w:r>
      <w:r>
        <w:rPr>
          <w:sz w:val="22"/>
        </w:rPr>
        <w:t>ClinTox</w:t>
      </w:r>
      <w:r>
        <w:rPr>
          <w:sz w:val="22"/>
        </w:rPr>
        <w:t>和</w:t>
      </w:r>
      <w:r>
        <w:rPr>
          <w:sz w:val="22"/>
        </w:rPr>
        <w:t>ESOL</w:t>
      </w:r>
      <w:r>
        <w:rPr>
          <w:sz w:val="22"/>
        </w:rPr>
        <w:t>在骨架切分与相似度聚类切分下的</w:t>
      </w:r>
      <w:r>
        <w:rPr>
          <w:sz w:val="22"/>
        </w:rPr>
        <w:t>CAHit@3</w:t>
      </w:r>
      <w:r>
        <w:rPr>
          <w:sz w:val="22"/>
        </w:rPr>
        <w:t>变化分别为</w:t>
      </w:r>
      <w:r>
        <w:rPr>
          <w:sz w:val="22"/>
        </w:rPr>
        <w:t>-0.662/-0.009</w:t>
      </w:r>
      <w:r>
        <w:rPr>
          <w:sz w:val="22"/>
        </w:rPr>
        <w:t>、</w:t>
      </w:r>
      <w:r>
        <w:rPr>
          <w:sz w:val="22"/>
        </w:rPr>
        <w:t>-0.956/-0.690</w:t>
      </w:r>
      <w:r>
        <w:rPr>
          <w:sz w:val="22"/>
        </w:rPr>
        <w:t>和</w:t>
      </w:r>
      <w:r>
        <w:rPr>
          <w:sz w:val="22"/>
        </w:rPr>
        <w:t>-0.883/-0.515</w:t>
      </w:r>
      <w:r>
        <w:rPr>
          <w:sz w:val="22"/>
        </w:rPr>
        <w:t>。三个终点方向均保持为负，但</w:t>
      </w:r>
      <w:r>
        <w:rPr>
          <w:sz w:val="22"/>
        </w:rPr>
        <w:t>BACE</w:t>
      </w:r>
      <w:r>
        <w:rPr>
          <w:sz w:val="22"/>
        </w:rPr>
        <w:t>在严格切分下接近零，且标准化</w:t>
      </w:r>
      <w:r>
        <w:rPr>
          <w:sz w:val="22"/>
        </w:rPr>
        <w:t>MRR</w:t>
      </w:r>
      <w:r>
        <w:rPr>
          <w:sz w:val="22"/>
        </w:rPr>
        <w:t>并非一致下降，因此结论限定于预设</w:t>
      </w:r>
      <w:r>
        <w:rPr>
          <w:sz w:val="22"/>
        </w:rPr>
        <w:t>CAHit@3</w:t>
      </w:r>
      <w:r>
        <w:rPr>
          <w:sz w:val="22"/>
        </w:rPr>
        <w:t>方向（补充图</w:t>
      </w:r>
      <w:r>
        <w:rPr>
          <w:sz w:val="22"/>
        </w:rPr>
        <w:t>S18A</w:t>
      </w:r>
      <w:r>
        <w:rPr>
          <w:sz w:val="22"/>
        </w:rPr>
        <w:t>）。</w:t>
      </w:r>
    </w:p>
    <w:p w14:paraId="499D31A1" w14:textId="77777777" w:rsidR="00EE56A9" w:rsidRDefault="00721CC4">
      <w:r>
        <w:t>三个终点的交叉拟合</w:t>
      </w:r>
      <w:r>
        <w:t>K=32</w:t>
      </w:r>
      <w:r>
        <w:t>减</w:t>
      </w:r>
      <w:r>
        <w:t>K=4</w:t>
      </w:r>
      <w:r>
        <w:t>差距在两种切分下均为正。骨架切分与相似度聚类切分的效应分别为：</w:t>
      </w:r>
      <w:r>
        <w:t>BACE</w:t>
      </w:r>
      <w:r>
        <w:t>，</w:t>
      </w:r>
      <w:r>
        <w:t>0.0009</w:t>
      </w:r>
      <w:r>
        <w:t>（</w:t>
      </w:r>
      <w:r>
        <w:t>-0.0046</w:t>
      </w:r>
      <w:r>
        <w:t>至</w:t>
      </w:r>
      <w:r>
        <w:t>0.0048</w:t>
      </w:r>
      <w:r>
        <w:t>）与</w:t>
      </w:r>
      <w:r>
        <w:t>0.0178</w:t>
      </w:r>
      <w:r>
        <w:t>（</w:t>
      </w:r>
      <w:r>
        <w:t>0.0124</w:t>
      </w:r>
      <w:r>
        <w:t>至</w:t>
      </w:r>
      <w:r>
        <w:t>0.0243</w:t>
      </w:r>
      <w:r>
        <w:t>）；</w:t>
      </w:r>
      <w:r>
        <w:t>ClinTox</w:t>
      </w:r>
      <w:r>
        <w:t>，</w:t>
      </w:r>
      <w:r>
        <w:t>0.0098</w:t>
      </w:r>
      <w:r>
        <w:t>（</w:t>
      </w:r>
      <w:r>
        <w:t>0.0046</w:t>
      </w:r>
      <w:r>
        <w:t>至</w:t>
      </w:r>
      <w:r>
        <w:t>0.0138</w:t>
      </w:r>
      <w:r>
        <w:t>）与</w:t>
      </w:r>
      <w:r>
        <w:t>0.0049</w:t>
      </w:r>
      <w:r>
        <w:t>（</w:t>
      </w:r>
      <w:r>
        <w:t>-0.0089</w:t>
      </w:r>
      <w:r>
        <w:t>至</w:t>
      </w:r>
      <w:r>
        <w:t>0.0215</w:t>
      </w:r>
      <w:r>
        <w:t>）；</w:t>
      </w:r>
      <w:r>
        <w:t>ESOL</w:t>
      </w:r>
      <w:r>
        <w:t>，</w:t>
      </w:r>
      <w:r>
        <w:t>0.0573</w:t>
      </w:r>
      <w:r>
        <w:t>（</w:t>
      </w:r>
      <w:r>
        <w:t>0.0411</w:t>
      </w:r>
      <w:r>
        <w:t>至</w:t>
      </w:r>
      <w:r>
        <w:t>0.0751</w:t>
      </w:r>
      <w:r>
        <w:t>）与</w:t>
      </w:r>
      <w:r>
        <w:t>0.0017</w:t>
      </w:r>
      <w:r>
        <w:t>（</w:t>
      </w:r>
      <w:r>
        <w:t>-0.0072</w:t>
      </w:r>
      <w:r>
        <w:t>至</w:t>
      </w:r>
      <w:r>
        <w:t>0.0107</w:t>
      </w:r>
      <w:r>
        <w:t>）。分类</w:t>
      </w:r>
      <w:r>
        <w:t>ROC-AUC</w:t>
      </w:r>
      <w:r>
        <w:t>损失与回归</w:t>
      </w:r>
      <w:r>
        <w:t>RMSE</w:t>
      </w:r>
      <w:r>
        <w:t>损失保持不同量纲。跨终点、</w:t>
      </w:r>
      <w:r>
        <w:t>K</w:t>
      </w:r>
      <w:r>
        <w:t>和矩阵变换组合的有效秩在两种切分间</w:t>
      </w:r>
      <w:r>
        <w:t>Spearman</w:t>
      </w:r>
      <w:r>
        <w:t>相关为</w:t>
      </w:r>
      <w:r>
        <w:t>0.832</w:t>
      </w:r>
      <w:r>
        <w:t>，但绝对值仍明显改变（补充图</w:t>
      </w:r>
      <w:r>
        <w:t>S18B-D</w:t>
      </w:r>
      <w:r>
        <w:t>；表</w:t>
      </w:r>
      <w:r>
        <w:t>S24-S25</w:t>
      </w:r>
      <w:r>
        <w:t>）。</w:t>
      </w:r>
    </w:p>
    <w:p w14:paraId="2E85CE12" w14:textId="77777777" w:rsidR="00EE56A9" w:rsidRDefault="00721CC4">
      <w:pPr>
        <w:pStyle w:val="21"/>
      </w:pPr>
      <w:r>
        <w:t xml:space="preserve">3.10 </w:t>
      </w:r>
      <w:r>
        <w:t>扩展的组成、稳定性与计算控制</w:t>
      </w:r>
    </w:p>
    <w:p w14:paraId="5E3F678C" w14:textId="77777777" w:rsidR="00EE56A9" w:rsidRDefault="00721CC4">
      <w:r>
        <w:t>扩展干预完整覆盖</w:t>
      </w:r>
      <w:r>
        <w:t xml:space="preserve"> 6 </w:t>
      </w:r>
      <w:r>
        <w:t>个端点、</w:t>
      </w:r>
      <w:r>
        <w:t xml:space="preserve">3 </w:t>
      </w:r>
      <w:r>
        <w:t>类候选池与</w:t>
      </w:r>
      <w:r>
        <w:t xml:space="preserve"> 4 </w:t>
      </w:r>
      <w:r>
        <w:t>个锁定</w:t>
      </w:r>
      <w:r>
        <w:t xml:space="preserve"> K</w:t>
      </w:r>
      <w:r>
        <w:t>。从</w:t>
      </w:r>
      <w:r>
        <w:t xml:space="preserve"> K = 4 </w:t>
      </w:r>
      <w:r>
        <w:t>到</w:t>
      </w:r>
      <w:r>
        <w:t xml:space="preserve"> K = 32</w:t>
      </w:r>
      <w:r>
        <w:t>，</w:t>
      </w:r>
      <w:r>
        <w:t xml:space="preserve">CAHit@3 </w:t>
      </w:r>
      <w:r>
        <w:t>在</w:t>
      </w:r>
      <w:r>
        <w:t xml:space="preserve"> 14/18 </w:t>
      </w:r>
      <w:r>
        <w:t>个</w:t>
      </w:r>
      <w:r>
        <w:t>“</w:t>
      </w:r>
      <w:r>
        <w:t>端点</w:t>
      </w:r>
      <w:r>
        <w:t>×</w:t>
      </w:r>
      <w:r>
        <w:t>候选池</w:t>
      </w:r>
      <w:r>
        <w:t>”</w:t>
      </w:r>
      <w:r>
        <w:t>单元下降，交叉拟合差距在</w:t>
      </w:r>
      <w:r>
        <w:t xml:space="preserve"> 10 </w:t>
      </w:r>
      <w:r>
        <w:t>个单元增加。</w:t>
      </w:r>
      <w:r>
        <w:t xml:space="preserve">K = 32 </w:t>
      </w:r>
      <w:r>
        <w:t>时，多表征经典与现代增强相对同质候选池的验证选择增益分别在</w:t>
      </w:r>
      <w:r>
        <w:t xml:space="preserve"> 6 </w:t>
      </w:r>
      <w:r>
        <w:t>和</w:t>
      </w:r>
      <w:r>
        <w:t xml:space="preserve"> 6 </w:t>
      </w:r>
      <w:r>
        <w:t>个端点为正。上述计数仅描述预设端点中的方向；分类</w:t>
      </w:r>
      <w:r>
        <w:t xml:space="preserve"> ROC-AUC </w:t>
      </w:r>
      <w:r>
        <w:t>效用与回归负</w:t>
      </w:r>
      <w:r>
        <w:t xml:space="preserve"> RMSE </w:t>
      </w:r>
      <w:r>
        <w:t>效用未在原始尺度上合并。</w:t>
      </w:r>
    </w:p>
    <w:p w14:paraId="41744BFD" w14:textId="77777777" w:rsidR="00EE56A9" w:rsidRDefault="00721CC4">
      <w:r>
        <w:t>在固定</w:t>
      </w:r>
      <w:r>
        <w:t xml:space="preserve"> K = 16 </w:t>
      </w:r>
      <w:r>
        <w:t>和</w:t>
      </w:r>
      <w:r>
        <w:t xml:space="preserve"> 32 </w:t>
      </w:r>
      <w:r>
        <w:t>下，</w:t>
      </w:r>
      <w:r>
        <w:t>ChemBERTa</w:t>
      </w:r>
      <w:r>
        <w:t>、</w:t>
      </w:r>
      <w:r>
        <w:t>MoLFormer</w:t>
      </w:r>
      <w:r>
        <w:t>、</w:t>
      </w:r>
      <w:r>
        <w:t xml:space="preserve">D-MPNN </w:t>
      </w:r>
      <w:r>
        <w:t>与完整现代增强候选池的选择增益分别在</w:t>
      </w:r>
      <w:r>
        <w:t xml:space="preserve"> 6</w:t>
      </w:r>
      <w:r>
        <w:t>、</w:t>
      </w:r>
      <w:r>
        <w:t>4</w:t>
      </w:r>
      <w:r>
        <w:t>、</w:t>
      </w:r>
      <w:r>
        <w:t xml:space="preserve">1 </w:t>
      </w:r>
      <w:r>
        <w:t>和</w:t>
      </w:r>
      <w:r>
        <w:t xml:space="preserve"> 6/12 </w:t>
      </w:r>
      <w:r>
        <w:t>个</w:t>
      </w:r>
      <w:r>
        <w:t>“</w:t>
      </w:r>
      <w:r>
        <w:t>端点</w:t>
      </w:r>
      <w:r>
        <w:t>×K”</w:t>
      </w:r>
      <w:r>
        <w:t>单元超过相应多表征经典候选池，从而将具体组件作用与单纯增加</w:t>
      </w:r>
      <w:r>
        <w:t xml:space="preserve"> K </w:t>
      </w:r>
      <w:r>
        <w:t>区分开（图</w:t>
      </w:r>
      <w:r>
        <w:t xml:space="preserve"> S17</w:t>
      </w:r>
      <w:r>
        <w:t>；表</w:t>
      </w:r>
      <w:r>
        <w:t xml:space="preserve"> S33</w:t>
      </w:r>
      <w:r>
        <w:t>）。</w:t>
      </w:r>
    </w:p>
    <w:p w14:paraId="2593F27E" w14:textId="77777777" w:rsidR="00EE56A9" w:rsidRDefault="00721CC4">
      <w:r>
        <w:t>在锁定的经典候选池时间预算下，等预算选择增益在</w:t>
      </w:r>
      <w:r>
        <w:t xml:space="preserve"> 17/36 </w:t>
      </w:r>
      <w:r>
        <w:t>个</w:t>
      </w:r>
      <w:r>
        <w:t>“</w:t>
      </w:r>
      <w:r>
        <w:t>端点</w:t>
      </w:r>
      <w:r>
        <w:t>×</w:t>
      </w:r>
      <w:r>
        <w:t>候选池</w:t>
      </w:r>
      <w:r>
        <w:t>×K”</w:t>
      </w:r>
      <w:r>
        <w:t>单元不低于等</w:t>
      </w:r>
      <w:r>
        <w:t xml:space="preserve"> K </w:t>
      </w:r>
      <w:r>
        <w:t>结果。由于</w:t>
      </w:r>
      <w:r>
        <w:t xml:space="preserve"> D-MPNN </w:t>
      </w:r>
      <w:r>
        <w:t>位于现代候选表第二位且占据主要下游时间，严格前缀规则下现代候选池平均仅保留</w:t>
      </w:r>
      <w:r>
        <w:t xml:space="preserve"> 1.00 </w:t>
      </w:r>
      <w:r>
        <w:t>个候选。该结果只表示下游计算敏感性，不能解释为端到端效率比较（图</w:t>
      </w:r>
      <w:r>
        <w:t xml:space="preserve"> S21</w:t>
      </w:r>
      <w:r>
        <w:t>；表</w:t>
      </w:r>
      <w:r>
        <w:t xml:space="preserve"> S33</w:t>
      </w:r>
      <w:r>
        <w:t>、</w:t>
      </w:r>
      <w:r>
        <w:t>S36</w:t>
      </w:r>
      <w:r>
        <w:t>）。</w:t>
      </w:r>
    </w:p>
    <w:p w14:paraId="37CA8D7D" w14:textId="77777777" w:rsidR="00EE56A9" w:rsidRDefault="00721CC4">
      <w:r>
        <w:t xml:space="preserve">K = 32 </w:t>
      </w:r>
      <w:r>
        <w:t>时，同质</w:t>
      </w:r>
      <w:r>
        <w:t xml:space="preserve"> Morgan</w:t>
      </w:r>
      <w:r>
        <w:t>、多表征经典和现代增强候选池的标准化选择熵中位数分别为</w:t>
      </w:r>
      <w:r>
        <w:t xml:space="preserve"> 0.256</w:t>
      </w:r>
      <w:r>
        <w:t>、</w:t>
      </w:r>
      <w:r>
        <w:t xml:space="preserve">0.384 </w:t>
      </w:r>
      <w:r>
        <w:t>和</w:t>
      </w:r>
      <w:r>
        <w:t xml:space="preserve"> 0.215</w:t>
      </w:r>
      <w:r>
        <w:t>；对应留一种子一致性中位数为</w:t>
      </w:r>
      <w:r>
        <w:t xml:space="preserve"> 0.600</w:t>
      </w:r>
      <w:r>
        <w:t>、</w:t>
      </w:r>
      <w:r>
        <w:t xml:space="preserve">0.467 </w:t>
      </w:r>
      <w:r>
        <w:t>和</w:t>
      </w:r>
      <w:r>
        <w:t xml:space="preserve"> 0.667</w:t>
      </w:r>
      <w:r>
        <w:t>。</w:t>
      </w:r>
      <w:r>
        <w:t xml:space="preserve">K = 32 </w:t>
      </w:r>
      <w:r>
        <w:t>的</w:t>
      </w:r>
      <w:r>
        <w:t xml:space="preserve"> 90 </w:t>
      </w:r>
      <w:r>
        <w:t>个端点外层单元中，有</w:t>
      </w:r>
      <w:r>
        <w:t xml:space="preserve"> 0 </w:t>
      </w:r>
      <w:r>
        <w:t>个同质归一化分母接近</w:t>
      </w:r>
      <w:r>
        <w:t xml:space="preserve"> 0</w:t>
      </w:r>
      <w:r>
        <w:t>；有效分母最小为</w:t>
      </w:r>
      <w:r>
        <w:t xml:space="preserve"> 0.05201</w:t>
      </w:r>
      <w:r>
        <w:t>。九种预设</w:t>
      </w:r>
      <w:r>
        <w:t>“</w:t>
      </w:r>
      <w:r>
        <w:t>锚点</w:t>
      </w:r>
      <w:r>
        <w:t>×</w:t>
      </w:r>
      <w:r>
        <w:t>归一化</w:t>
      </w:r>
      <w:r>
        <w:t>”</w:t>
      </w:r>
      <w:r>
        <w:t>组合相对主原始尺度参照的选择增益方向一致性介于</w:t>
      </w:r>
      <w:r>
        <w:t xml:space="preserve"> 0.611–1.000</w:t>
      </w:r>
      <w:r>
        <w:t>，并保留</w:t>
      </w:r>
      <w:r>
        <w:t xml:space="preserve"> 6 </w:t>
      </w:r>
      <w:r>
        <w:t>个无定义汇总单元为缺失。完整结果见图</w:t>
      </w:r>
      <w:r>
        <w:t xml:space="preserve"> S18 </w:t>
      </w:r>
      <w:r>
        <w:t>和表</w:t>
      </w:r>
      <w:r>
        <w:t xml:space="preserve"> S34</w:t>
      </w:r>
      <w:r>
        <w:t>。</w:t>
      </w:r>
    </w:p>
    <w:p w14:paraId="70A2B359" w14:textId="77777777" w:rsidR="00EE56A9" w:rsidRDefault="00721CC4">
      <w:r>
        <w:t>在</w:t>
      </w:r>
      <w:r>
        <w:t xml:space="preserve"> ClinTox</w:t>
      </w:r>
      <w:r>
        <w:t>、</w:t>
      </w:r>
      <w:r>
        <w:t xml:space="preserve">BACE </w:t>
      </w:r>
      <w:r>
        <w:t>和</w:t>
      </w:r>
      <w:r>
        <w:t xml:space="preserve"> ESOL </w:t>
      </w:r>
      <w:r>
        <w:t>中，</w:t>
      </w:r>
      <w:r>
        <w:t xml:space="preserve">54/72 </w:t>
      </w:r>
      <w:r>
        <w:t>个预设</w:t>
      </w:r>
      <w:r>
        <w:t>“</w:t>
      </w:r>
      <w:r>
        <w:t>组成</w:t>
      </w:r>
      <w:r>
        <w:t>×K”</w:t>
      </w:r>
      <w:r>
        <w:t>指标对比在</w:t>
      </w:r>
      <w:r>
        <w:t xml:space="preserve"> scaffold split </w:t>
      </w:r>
      <w:r>
        <w:t>与</w:t>
      </w:r>
      <w:r>
        <w:t xml:space="preserve"> Tanimoto </w:t>
      </w:r>
      <w:r>
        <w:t>连通分量</w:t>
      </w:r>
      <w:r>
        <w:t xml:space="preserve"> split </w:t>
      </w:r>
      <w:r>
        <w:t>下方向一致；但效应大小及若干单独对比发生变化。因此，该分析仅支持两种已评估切分机制之间的组成效应迁移，不构成外部验证或普适鲁棒性证据（图</w:t>
      </w:r>
      <w:r>
        <w:t xml:space="preserve"> S19</w:t>
      </w:r>
      <w:r>
        <w:t>；表</w:t>
      </w:r>
      <w:r>
        <w:t xml:space="preserve"> S35</w:t>
      </w:r>
      <w:r>
        <w:t>）。</w:t>
      </w:r>
    </w:p>
    <w:p w14:paraId="216C5F75" w14:textId="77777777" w:rsidR="007A16D2" w:rsidRDefault="007A16D2">
      <w:pPr>
        <w:pStyle w:val="af7"/>
        <w:rPr>
          <w:b w:val="0"/>
          <w:bCs w:val="0"/>
          <w:color w:val="auto"/>
          <w:szCs w:val="22"/>
        </w:rPr>
      </w:pPr>
    </w:p>
    <w:p w14:paraId="74EF3E73" w14:textId="1709283E" w:rsidR="00EE56A9" w:rsidRDefault="007A16D2" w:rsidP="007A16D2">
      <w:pPr>
        <w:pStyle w:val="af7"/>
        <w:keepNext/>
        <w:spacing w:before="60" w:after="60"/>
        <w:jc w:val="center"/>
      </w:pPr>
      <w:r>
        <w:rPr>
          <w:noProof/>
        </w:rPr>
        <w:lastRenderedPageBreak/>
        <w:drawing>
          <wp:inline distT="0" distB="0" distL="0" distR="0" wp14:anchorId="5559833A" wp14:editId="1E15941F">
            <wp:extent cx="5943600" cy="3730625"/>
            <wp:effectExtent l="0" t="0" r="0" b="3175"/>
            <wp:docPr id="76143642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3642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3730625"/>
                    </a:xfrm>
                    <a:prstGeom prst="rect">
                      <a:avLst/>
                    </a:prstGeom>
                  </pic:spPr>
                </pic:pic>
              </a:graphicData>
            </a:graphic>
          </wp:inline>
        </w:drawing>
      </w:r>
      <w:r w:rsidR="00721CC4">
        <w:t>图</w:t>
      </w:r>
      <w:r w:rsidR="00721CC4">
        <w:t xml:space="preserve"> 7</w:t>
      </w:r>
      <w:r w:rsidR="00721CC4">
        <w:t>｜扩展后的等规模候选池组成干预。</w:t>
      </w:r>
      <w:r w:rsidR="00721CC4">
        <w:t>A</w:t>
      </w:r>
      <w:r w:rsidR="00721CC4">
        <w:t>，</w:t>
      </w:r>
      <w:r w:rsidR="00721CC4">
        <w:t xml:space="preserve">K = 32 </w:t>
      </w:r>
      <w:r w:rsidR="00721CC4">
        <w:t>时，横线连接</w:t>
      </w:r>
      <w:r w:rsidR="00721CC4">
        <w:t xml:space="preserve"> 6 </w:t>
      </w:r>
      <w:r w:rsidR="00721CC4">
        <w:t>个预设端点与</w:t>
      </w:r>
      <w:r w:rsidR="00721CC4">
        <w:t xml:space="preserve"> 3 </w:t>
      </w:r>
      <w:r w:rsidR="00721CC4">
        <w:t>类候选池的配对同质归一化验证选择增益（实心方形）和有限审计机会（空心圆）；分类与回归分区排列。</w:t>
      </w:r>
      <w:r w:rsidR="00721CC4">
        <w:t>B</w:t>
      </w:r>
      <w:r w:rsidR="00721CC4">
        <w:t>，</w:t>
      </w:r>
      <w:r w:rsidR="00721CC4">
        <w:t>K = 4</w:t>
      </w:r>
      <w:r w:rsidR="00721CC4">
        <w:t>、</w:t>
      </w:r>
      <w:r w:rsidR="00721CC4">
        <w:t>8</w:t>
      </w:r>
      <w:r w:rsidR="00721CC4">
        <w:t>、</w:t>
      </w:r>
      <w:r w:rsidR="00721CC4">
        <w:t>16</w:t>
      </w:r>
      <w:r w:rsidR="00721CC4">
        <w:t>、</w:t>
      </w:r>
      <w:r w:rsidR="00721CC4">
        <w:t xml:space="preserve">32 </w:t>
      </w:r>
      <w:r w:rsidR="00721CC4">
        <w:t>阶梯显示配对同质归一化选择增益（实线）和交叉拟合差距（虚线），分类与回归位于独立横轴区段。</w:t>
      </w:r>
      <w:r w:rsidR="00721CC4">
        <w:t>C</w:t>
      </w:r>
      <w:r w:rsidR="00721CC4">
        <w:t>，热图显示全部</w:t>
      </w:r>
      <w:r w:rsidR="00721CC4">
        <w:t>“</w:t>
      </w:r>
      <w:r w:rsidR="00721CC4">
        <w:t>端点</w:t>
      </w:r>
      <w:r w:rsidR="00721CC4">
        <w:t>×</w:t>
      </w:r>
      <w:r w:rsidR="00721CC4">
        <w:t>候选池</w:t>
      </w:r>
      <w:r w:rsidR="00721CC4">
        <w:t>×K”</w:t>
      </w:r>
      <w:r w:rsidR="00721CC4">
        <w:t>单元的</w:t>
      </w:r>
      <w:r w:rsidR="00721CC4">
        <w:t xml:space="preserve"> CAHit@3</w:t>
      </w:r>
      <w:r w:rsidR="00721CC4">
        <w:t>，右侧窄列为</w:t>
      </w:r>
      <w:r w:rsidR="00721CC4">
        <w:t xml:space="preserve"> K = 32 </w:t>
      </w:r>
      <w:r w:rsidR="00721CC4">
        <w:t>的标准化选择熵；负</w:t>
      </w:r>
      <w:r w:rsidR="00721CC4">
        <w:t xml:space="preserve"> CAHit@3 </w:t>
      </w:r>
      <w:r w:rsidR="00721CC4">
        <w:t>保留。</w:t>
      </w:r>
      <w:r w:rsidR="00721CC4">
        <w:t>D</w:t>
      </w:r>
      <w:r w:rsidR="00721CC4">
        <w:t>，等</w:t>
      </w:r>
      <w:r w:rsidR="00721CC4">
        <w:t xml:space="preserve"> K </w:t>
      </w:r>
      <w:r w:rsidR="00721CC4">
        <w:t>与等下游预算轨迹展示单个外层单元的下游审计时间与配对同质归一化选择增益，阶梯线表示经验</w:t>
      </w:r>
      <w:r w:rsidR="00721CC4">
        <w:t xml:space="preserve"> Pareto </w:t>
      </w:r>
      <w:r w:rsidR="00721CC4">
        <w:t>前沿。不确定性以</w:t>
      </w:r>
      <w:r w:rsidR="00721CC4">
        <w:t xml:space="preserve"> 5 </w:t>
      </w:r>
      <w:r w:rsidR="00721CC4">
        <w:t>个种子为区组，并先在种子内平均</w:t>
      </w:r>
      <w:r w:rsidR="00721CC4">
        <w:t xml:space="preserve"> 3 </w:t>
      </w:r>
      <w:r w:rsidR="00721CC4">
        <w:t>个外层折。下游时间不含预训练编码器获取、预训练与缓存嵌入提取。</w:t>
      </w:r>
    </w:p>
    <w:p w14:paraId="193BA9EE" w14:textId="77777777" w:rsidR="00EE56A9" w:rsidRDefault="00721CC4" w:rsidP="007A16D2">
      <w:pPr>
        <w:pStyle w:val="1"/>
        <w:spacing w:line="360" w:lineRule="auto"/>
      </w:pPr>
      <w:r>
        <w:rPr>
          <w:rFonts w:ascii="Times New Roman" w:eastAsia="黑体" w:hAnsi="Times New Roman"/>
          <w:b w:val="0"/>
        </w:rPr>
        <w:t xml:space="preserve">4 </w:t>
      </w:r>
      <w:r>
        <w:rPr>
          <w:rFonts w:ascii="Times New Roman" w:eastAsia="黑体" w:hAnsi="Times New Roman"/>
          <w:b w:val="0"/>
        </w:rPr>
        <w:t>讨论</w:t>
      </w:r>
    </w:p>
    <w:p w14:paraId="20F2D585" w14:textId="77777777" w:rsidR="00EE56A9" w:rsidRDefault="00721CC4">
      <w:pPr>
        <w:pStyle w:val="21"/>
        <w:spacing w:line="360" w:lineRule="auto"/>
      </w:pPr>
      <w:r>
        <w:rPr>
          <w:rFonts w:ascii="Times New Roman" w:eastAsia="黑体" w:hAnsi="Times New Roman"/>
          <w:b w:val="0"/>
        </w:rPr>
        <w:t xml:space="preserve">4.1 </w:t>
      </w:r>
      <w:r>
        <w:rPr>
          <w:rFonts w:ascii="Times New Roman" w:eastAsia="黑体" w:hAnsi="Times New Roman"/>
          <w:b w:val="0"/>
        </w:rPr>
        <w:t>名义</w:t>
      </w:r>
      <w:r>
        <w:rPr>
          <w:rFonts w:ascii="Times New Roman" w:eastAsia="黑体" w:hAnsi="Times New Roman"/>
          <w:b w:val="0"/>
        </w:rPr>
        <w:t>K</w:t>
      </w:r>
      <w:r>
        <w:rPr>
          <w:rFonts w:ascii="Times New Roman" w:eastAsia="黑体" w:hAnsi="Times New Roman"/>
          <w:b w:val="0"/>
        </w:rPr>
        <w:t>不能定义候选多样性</w:t>
      </w:r>
    </w:p>
    <w:p w14:paraId="1EF622CA" w14:textId="77777777" w:rsidR="00EE56A9" w:rsidRDefault="00721CC4">
      <w:pPr>
        <w:spacing w:after="0" w:line="360" w:lineRule="auto"/>
      </w:pPr>
      <w:r>
        <w:t>候选数量、家族数量、表征数量、计算暴露和有效多样性描述模型搜索的不同维度。名义</w:t>
      </w:r>
      <w:r>
        <w:t>K</w:t>
      </w:r>
      <w:r>
        <w:t>记录可选择候选数，家族与表征数描述登记组成，计算暴露记录拟合机会；这些量均不能直接证明候选在审计单元上的行为独立性。</w:t>
      </w:r>
    </w:p>
    <w:p w14:paraId="63A16032" w14:textId="77777777" w:rsidR="00EE56A9" w:rsidRDefault="00721CC4">
      <w:pPr>
        <w:spacing w:after="0" w:line="360" w:lineRule="auto"/>
      </w:pPr>
      <w:r>
        <w:t>登记前缀随</w:t>
      </w:r>
      <w:r>
        <w:t>K</w:t>
      </w:r>
      <w:r>
        <w:t>机械增加候选与计算暴露，但候选共享表征和相近学习器。有效多样性仅概括既定终点与划分中的效用模式，因此报告时应将搜索规模、登记组成、计算暴露和矩阵依赖有效多样性分开。</w:t>
      </w:r>
    </w:p>
    <w:p w14:paraId="40F43C93" w14:textId="77777777" w:rsidR="00EE56A9" w:rsidRDefault="00721CC4">
      <w:pPr>
        <w:pStyle w:val="21"/>
        <w:spacing w:line="360" w:lineRule="auto"/>
      </w:pPr>
      <w:r>
        <w:rPr>
          <w:rFonts w:ascii="Times New Roman" w:eastAsia="黑体" w:hAnsi="Times New Roman"/>
          <w:b w:val="0"/>
        </w:rPr>
        <w:t xml:space="preserve">4.2 </w:t>
      </w:r>
      <w:r>
        <w:rPr>
          <w:rFonts w:ascii="Times New Roman" w:eastAsia="黑体" w:hAnsi="Times New Roman"/>
          <w:b w:val="0"/>
        </w:rPr>
        <w:t>矩阵构造改变有效秩解释</w:t>
      </w:r>
    </w:p>
    <w:p w14:paraId="74C4A825" w14:textId="77777777" w:rsidR="00EE56A9" w:rsidRDefault="00721CC4">
      <w:pPr>
        <w:spacing w:after="0" w:line="360" w:lineRule="auto"/>
      </w:pPr>
      <w:r>
        <w:t>原始效用、逐行中心化效用、固定参照效用和单元内秩回答不同问题。原始矩阵保留共同审计难度；逐行中心化去除水平位移但引入行和约束；固定参照依赖预设参照；秩矩阵保留顺序却丢失效用间距。</w:t>
      </w:r>
    </w:p>
    <w:p w14:paraId="37737DFE" w14:textId="77777777" w:rsidR="00EE56A9" w:rsidRDefault="00721CC4">
      <w:pPr>
        <w:spacing w:after="0" w:line="360" w:lineRule="auto"/>
      </w:pPr>
      <w:r>
        <w:t>最大登记表中每个终点只有</w:t>
      </w:r>
      <w:r>
        <w:t>15</w:t>
      </w:r>
      <w:r>
        <w:t>个外层行，经验候选相关矩阵因而秩亏。</w:t>
      </w:r>
      <w:r>
        <w:t>Ledoit–Wolf</w:t>
      </w:r>
      <w:r>
        <w:t>收缩稳定噪声协方差方向，却不会创造独立信息。谱熵秩与参与率秩对特征谱赋权不同，应与留一和参照敏感性结果共同报告。</w:t>
      </w:r>
    </w:p>
    <w:p w14:paraId="64B53823" w14:textId="77777777" w:rsidR="00EE56A9" w:rsidRDefault="00721CC4">
      <w:pPr>
        <w:pStyle w:val="21"/>
        <w:spacing w:line="360" w:lineRule="auto"/>
      </w:pPr>
      <w:r>
        <w:rPr>
          <w:rFonts w:ascii="Times New Roman" w:eastAsia="黑体" w:hAnsi="Times New Roman"/>
          <w:b w:val="0"/>
        </w:rPr>
        <w:t xml:space="preserve">4.3 </w:t>
      </w:r>
      <w:r>
        <w:rPr>
          <w:rFonts w:ascii="Times New Roman" w:eastAsia="黑体" w:hAnsi="Times New Roman"/>
          <w:b w:val="0"/>
        </w:rPr>
        <w:t>机会校正排序退化伴随选择差距</w:t>
      </w:r>
    </w:p>
    <w:p w14:paraId="17377FC4" w14:textId="77777777" w:rsidR="00EE56A9" w:rsidRDefault="00721CC4">
      <w:pPr>
        <w:spacing w:after="0" w:line="360" w:lineRule="auto"/>
      </w:pPr>
      <w:r>
        <w:t>原始获胜者恢复会随</w:t>
      </w:r>
      <w:r>
        <w:t>K</w:t>
      </w:r>
      <w:r>
        <w:t>机械变难，因此解释依赖机会校正和分级排序量。</w:t>
      </w:r>
      <w:r>
        <w:t>CAHit@3</w:t>
      </w:r>
      <w:r>
        <w:t>评价外层最佳是否进入验证短名单，标准化</w:t>
      </w:r>
      <w:r>
        <w:t>MRR</w:t>
      </w:r>
      <w:r>
        <w:t>相对随机期望评价其位置，</w:t>
      </w:r>
      <w:r>
        <w:t>NDCG</w:t>
      </w:r>
      <w:r>
        <w:t>、</w:t>
      </w:r>
      <w:r>
        <w:t>Spearman</w:t>
      </w:r>
      <w:r>
        <w:t>、</w:t>
      </w:r>
      <w:r>
        <w:t>Kendall</w:t>
      </w:r>
      <w:r>
        <w:t>和秩百分位刻画更广泛的重排。</w:t>
      </w:r>
    </w:p>
    <w:p w14:paraId="472D4F01" w14:textId="77777777" w:rsidR="00EE56A9" w:rsidRDefault="00721CC4">
      <w:pPr>
        <w:spacing w:after="0" w:line="360" w:lineRule="auto"/>
      </w:pPr>
      <w:r>
        <w:lastRenderedPageBreak/>
        <w:t>置换负对照使两个校正指标回到随机排序零点，所有</w:t>
      </w:r>
      <w:r>
        <w:t>K</w:t>
      </w:r>
      <w:r>
        <w:t>下的观测</w:t>
      </w:r>
      <w:r>
        <w:t>CAHit@3</w:t>
      </w:r>
      <w:r>
        <w:t>终点中位数均高于</w:t>
      </w:r>
      <w:r>
        <w:t>95%</w:t>
      </w:r>
      <w:r>
        <w:t>置换包络。分级正对照中，注入验证</w:t>
      </w:r>
      <w:r>
        <w:t>—</w:t>
      </w:r>
      <w:r>
        <w:t>审计信号增强时，</w:t>
      </w:r>
      <w:r>
        <w:t>CAHit@3</w:t>
      </w:r>
      <w:r>
        <w:t>和标准化</w:t>
      </w:r>
      <w:r>
        <w:t>MRR</w:t>
      </w:r>
      <w:r>
        <w:t>单调提高，固定范围选择损失单调降低，并在完全信号时降为零。这证明指标具有预期的零点与信号恢复行为；真实排序退化仍与异质终点差距相伴，但不能证明单一排序量造成每个损失。</w:t>
      </w:r>
    </w:p>
    <w:p w14:paraId="303CBA2C" w14:textId="77777777" w:rsidR="00EE56A9" w:rsidRDefault="00721CC4">
      <w:pPr>
        <w:pStyle w:val="21"/>
        <w:spacing w:line="360" w:lineRule="auto"/>
      </w:pPr>
      <w:r>
        <w:rPr>
          <w:rFonts w:ascii="Times New Roman" w:eastAsia="黑体" w:hAnsi="Times New Roman"/>
          <w:b w:val="0"/>
        </w:rPr>
        <w:t xml:space="preserve">4.4 </w:t>
      </w:r>
      <w:r>
        <w:rPr>
          <w:rFonts w:ascii="Times New Roman" w:eastAsia="黑体" w:hAnsi="Times New Roman"/>
          <w:b w:val="0"/>
        </w:rPr>
        <w:t>交叉拟合削弱同一单元最大值</w:t>
      </w:r>
    </w:p>
    <w:p w14:paraId="24BEF78A" w14:textId="77777777" w:rsidR="00EE56A9" w:rsidRDefault="00721CC4">
      <w:pPr>
        <w:spacing w:after="0" w:line="360" w:lineRule="auto"/>
      </w:pPr>
      <w:r>
        <w:t>同一单元最大值使用被评价外层分数定义参照，可能夸大选择器可利用的机会。留一</w:t>
      </w:r>
      <w:r>
        <w:t>seed</w:t>
      </w:r>
      <w:r>
        <w:t>交叉拟合将参照选择与留出</w:t>
      </w:r>
      <w:r>
        <w:t>seed</w:t>
      </w:r>
      <w:r>
        <w:t>评价分离，在多数终点削弱同一单元效应，同时保留正负结果。</w:t>
      </w:r>
    </w:p>
    <w:p w14:paraId="4D2B1C88" w14:textId="77777777" w:rsidR="00EE56A9" w:rsidRDefault="00721CC4">
      <w:pPr>
        <w:spacing w:after="0" w:line="360" w:lineRule="auto"/>
      </w:pPr>
      <w:r>
        <w:t>交叉拟合没有消除有限最大值乐观性、登记条件化或公开终点复用。已知真值模拟只说明最大化带噪候选估计的机械性质，不用于偏差校正。该参照是敏感性证据而非外部验证。</w:t>
      </w:r>
    </w:p>
    <w:p w14:paraId="09F27E7A" w14:textId="77777777" w:rsidR="00EE56A9" w:rsidRDefault="00721CC4">
      <w:pPr>
        <w:pStyle w:val="21"/>
        <w:spacing w:line="360" w:lineRule="auto"/>
      </w:pPr>
      <w:r>
        <w:rPr>
          <w:rFonts w:ascii="Times New Roman" w:eastAsia="黑体" w:hAnsi="Times New Roman"/>
          <w:b w:val="0"/>
        </w:rPr>
        <w:t xml:space="preserve">4.5 </w:t>
      </w:r>
      <w:r>
        <w:rPr>
          <w:rFonts w:ascii="Times New Roman" w:eastAsia="黑体" w:hAnsi="Times New Roman"/>
          <w:b w:val="0"/>
        </w:rPr>
        <w:t>等规模分析修正多视图解释</w:t>
      </w:r>
    </w:p>
    <w:p w14:paraId="36EAC578" w14:textId="77777777" w:rsidR="00EE56A9" w:rsidRDefault="00721CC4">
      <w:pPr>
        <w:spacing w:after="0" w:line="360" w:lineRule="auto"/>
      </w:pPr>
      <w:r>
        <w:t>完整枚举</w:t>
      </w:r>
      <w:r>
        <w:t>220</w:t>
      </w:r>
      <w:r>
        <w:t>个重叠等规模子集，在固定候选数下改变表征和学习器组成。这些子集描绘同一登记表中的敏感性，并非独立实验；互斥组成类别避免把平衡、拼接、表征和学习器标签解释为独立因素。</w:t>
      </w:r>
    </w:p>
    <w:p w14:paraId="67A65A71" w14:textId="77777777" w:rsidR="00EE56A9" w:rsidRDefault="00721CC4">
      <w:pPr>
        <w:spacing w:after="0" w:line="360" w:lineRule="auto"/>
      </w:pPr>
      <w:r>
        <w:t>终点分布保留</w:t>
      </w:r>
      <w:r>
        <w:t>BACE</w:t>
      </w:r>
      <w:r>
        <w:t>负中位效应及其他弱效应，且不合并</w:t>
      </w:r>
      <w:r>
        <w:t>ROC-AUC</w:t>
      </w:r>
      <w:r>
        <w:t>收益和</w:t>
      </w:r>
      <w:r>
        <w:t>RMSE</w:t>
      </w:r>
      <w:r>
        <w:t>降低。更大</w:t>
      </w:r>
      <w:r>
        <w:t>K</w:t>
      </w:r>
      <w:r>
        <w:t>阶梯仍交织表征广度、学习器相互作用和额外选择机会，因此只支持依赖终点的组成效应。</w:t>
      </w:r>
    </w:p>
    <w:p w14:paraId="73E896AF" w14:textId="77777777" w:rsidR="00EE56A9" w:rsidRDefault="00721CC4">
      <w:pPr>
        <w:pStyle w:val="21"/>
        <w:spacing w:line="360" w:lineRule="auto"/>
      </w:pPr>
      <w:r>
        <w:rPr>
          <w:rFonts w:ascii="Times New Roman" w:eastAsia="黑体" w:hAnsi="Times New Roman"/>
          <w:b w:val="0"/>
        </w:rPr>
        <w:t xml:space="preserve">4.6 </w:t>
      </w:r>
      <w:r>
        <w:rPr>
          <w:rFonts w:ascii="Times New Roman" w:eastAsia="黑体" w:hAnsi="Times New Roman"/>
          <w:b w:val="0"/>
        </w:rPr>
        <w:t>可靠性仍取决于化学支持</w:t>
      </w:r>
    </w:p>
    <w:p w14:paraId="3CE9BE85" w14:textId="77777777" w:rsidR="00EE56A9" w:rsidRDefault="00721CC4">
      <w:pPr>
        <w:spacing w:after="0" w:line="360" w:lineRule="auto"/>
      </w:pPr>
      <w:r>
        <w:t>Tanimoto</w:t>
      </w:r>
      <w:r>
        <w:t>支持、新颖骨架和活性悬崖表明选择结果依赖化学邻域。错误重叠、分歧与支持分层性能是互补边界证据，不能由单一平均骨架分数替代。</w:t>
      </w:r>
    </w:p>
    <w:p w14:paraId="6E3ED366" w14:textId="77777777" w:rsidR="00EE56A9" w:rsidRDefault="00721CC4">
      <w:pPr>
        <w:spacing w:after="0" w:line="360" w:lineRule="auto"/>
      </w:pPr>
      <w:r>
        <w:t>ClinTox</w:t>
      </w:r>
      <w:r>
        <w:t>说明判别、保形覆盖和筛选安全性必须分开。</w:t>
      </w:r>
      <w:r>
        <w:t>ROC-AUC</w:t>
      </w:r>
      <w:r>
        <w:t>可能与罕见类别召回不足或较高假阴性风险并存；提高条件覆盖通常还会扩大预测集。这些分析限定模型选择审计，不证明部署就绪。</w:t>
      </w:r>
    </w:p>
    <w:p w14:paraId="7B40DD26" w14:textId="77777777" w:rsidR="00EE56A9" w:rsidRDefault="00721CC4">
      <w:pPr>
        <w:pStyle w:val="21"/>
      </w:pPr>
      <w:r>
        <w:rPr>
          <w:rFonts w:ascii="Times New Roman" w:eastAsia="宋体" w:hAnsi="Times New Roman"/>
          <w:sz w:val="22"/>
        </w:rPr>
        <w:lastRenderedPageBreak/>
        <w:t xml:space="preserve">4.7 </w:t>
      </w:r>
      <w:r>
        <w:rPr>
          <w:rFonts w:ascii="Times New Roman" w:eastAsia="宋体" w:hAnsi="Times New Roman"/>
          <w:sz w:val="22"/>
        </w:rPr>
        <w:t>切分迁移降低但未消除设计依赖</w:t>
      </w:r>
    </w:p>
    <w:p w14:paraId="0270E6A1" w14:textId="77777777" w:rsidR="00EE56A9" w:rsidRDefault="00721CC4">
      <w:r>
        <w:rPr>
          <w:sz w:val="22"/>
        </w:rPr>
        <w:t>在禁止跨折</w:t>
      </w:r>
      <w:r>
        <w:rPr>
          <w:sz w:val="22"/>
        </w:rPr>
        <w:t>Tanimoto≥0.70</w:t>
      </w:r>
      <w:r>
        <w:rPr>
          <w:sz w:val="22"/>
        </w:rPr>
        <w:t>的切分下，</w:t>
      </w:r>
      <w:r>
        <w:rPr>
          <w:sz w:val="22"/>
        </w:rPr>
        <w:t>CAHit@3</w:t>
      </w:r>
      <w:r>
        <w:rPr>
          <w:sz w:val="22"/>
        </w:rPr>
        <w:t>变化和交叉拟合差距方向仍一致，削弱了主结果仅由普通骨架分配造成的解释；有效秩的较高秩相关也说明登记表的总体结构部分保留。</w:t>
      </w:r>
    </w:p>
    <w:p w14:paraId="404C70A6" w14:textId="77777777" w:rsidR="00EE56A9" w:rsidRDefault="00721CC4">
      <w:r>
        <w:rPr>
          <w:sz w:val="22"/>
        </w:rPr>
        <w:t>迁移并非数值不变。</w:t>
      </w:r>
      <w:r>
        <w:rPr>
          <w:sz w:val="22"/>
        </w:rPr>
        <w:t>BACE</w:t>
      </w:r>
      <w:r>
        <w:rPr>
          <w:sz w:val="22"/>
        </w:rPr>
        <w:t>的</w:t>
      </w:r>
      <w:r>
        <w:rPr>
          <w:sz w:val="22"/>
        </w:rPr>
        <w:t>CAHit@3</w:t>
      </w:r>
      <w:r>
        <w:rPr>
          <w:sz w:val="22"/>
        </w:rPr>
        <w:t>变化在相似度聚类切分下接近零，标准化</w:t>
      </w:r>
      <w:r>
        <w:rPr>
          <w:sz w:val="22"/>
        </w:rPr>
        <w:t>MRR</w:t>
      </w:r>
      <w:r>
        <w:rPr>
          <w:sz w:val="22"/>
        </w:rPr>
        <w:t>并非一致降低，区间排零也随终点改变。因此应表述为三个代表终点的方向迁移，而非跨目标、时间切分、模型登记表或部署人群的普遍定律。</w:t>
      </w:r>
    </w:p>
    <w:p w14:paraId="4F8A790E" w14:textId="77777777" w:rsidR="00EE56A9" w:rsidRDefault="00721CC4">
      <w:pPr>
        <w:pStyle w:val="21"/>
      </w:pPr>
      <w:r>
        <w:t xml:space="preserve">4.8 </w:t>
      </w:r>
      <w:r>
        <w:t>候选池组成、选择稳定性与受限计算</w:t>
      </w:r>
    </w:p>
    <w:p w14:paraId="0E52FC62" w14:textId="77777777" w:rsidR="00EE56A9" w:rsidRDefault="00721CC4">
      <w:r>
        <w:t>六端点干预使证据从三数据集边界检查扩展为覆盖稀有类别、常规分类、小样本回归、大样本回归与渗透性任务的预设组成实验。候选池扩张在许多单元提高有限审计机会，但能否形成实际选择增益，取决于内层验证能否稳定识别新增候选。有效多样性、排序保真度与实际选择效用因此对应审计链条中的不同环节。</w:t>
      </w:r>
    </w:p>
    <w:p w14:paraId="20A8FD77" w14:textId="77777777" w:rsidR="00EE56A9" w:rsidRDefault="00721CC4">
      <w:r>
        <w:t>组件消融表明，现代候选池不能被视为不可分割的单一类别。冻结的化学语言模型表征与一轮</w:t>
      </w:r>
      <w:r>
        <w:t xml:space="preserve"> D-MPNN </w:t>
      </w:r>
      <w:r>
        <w:t>对不同端点的机会、选择稳定性和下游时间影响不同。严格等预算前缀分析还显示，一个计算昂贵的早期候选可能在后续互补候选进入前耗尽预算。这是预设顺序与受限下游成本核算的结果，并不证明某种架构具有内在低效率。</w:t>
      </w:r>
    </w:p>
    <w:p w14:paraId="0E108B1C" w14:textId="77777777" w:rsidR="00EE56A9" w:rsidRDefault="00721CC4">
      <w:r>
        <w:t>锚点与归一化敏感性进一步限制了最强结论：只有当有限审计机会分母远离</w:t>
      </w:r>
      <w:r>
        <w:t xml:space="preserve"> 0 </w:t>
      </w:r>
      <w:r>
        <w:t>时，配对同质归一化才具有稳定解释。本文未将近零分母正则化为巨大比值，而是将其记为缺失；原始尺度、端点</w:t>
      </w:r>
      <w:r>
        <w:t xml:space="preserve"> MAD</w:t>
      </w:r>
      <w:r>
        <w:t>、固定</w:t>
      </w:r>
      <w:r>
        <w:t xml:space="preserve"> Morgan-RF </w:t>
      </w:r>
      <w:r>
        <w:t>与候选表中位锚点共同区分方向性结论与特定尺度展示。</w:t>
      </w:r>
    </w:p>
    <w:p w14:paraId="2BB57296" w14:textId="77777777" w:rsidR="00EE56A9" w:rsidRDefault="00721CC4">
      <w:pPr>
        <w:pStyle w:val="21"/>
        <w:spacing w:line="360" w:lineRule="auto"/>
      </w:pPr>
      <w:r>
        <w:t xml:space="preserve">4.9 </w:t>
      </w:r>
      <w:r>
        <w:t>局限性</w:t>
      </w:r>
    </w:p>
    <w:p w14:paraId="6AF9ADEB" w14:textId="77777777" w:rsidR="00EE56A9" w:rsidRDefault="00721CC4">
      <w:r>
        <w:t>主审计的</w:t>
      </w:r>
      <w:r>
        <w:t xml:space="preserve"> 9 </w:t>
      </w:r>
      <w:r>
        <w:t>个端点与扩展组成干预的</w:t>
      </w:r>
      <w:r>
        <w:t xml:space="preserve"> 6 </w:t>
      </w:r>
      <w:r>
        <w:t>个端点仍属于公共数据上的回顾性评估。每个端点的有效秩仅基于</w:t>
      </w:r>
      <w:r>
        <w:t xml:space="preserve"> 15 </w:t>
      </w:r>
      <w:r>
        <w:t>个外层单元；收缩估计能够提高数值稳定性，但不能创造新的独立信息。组成</w:t>
      </w:r>
      <w:r>
        <w:t>×</w:t>
      </w:r>
      <w:r>
        <w:t>切分闭环仅覆盖</w:t>
      </w:r>
      <w:r>
        <w:t xml:space="preserve"> ClinTox</w:t>
      </w:r>
      <w:r>
        <w:t>、</w:t>
      </w:r>
      <w:r>
        <w:t>BACE</w:t>
      </w:r>
      <w:r>
        <w:t>、</w:t>
      </w:r>
      <w:r>
        <w:t xml:space="preserve">ESOL </w:t>
      </w:r>
      <w:r>
        <w:t>与一个</w:t>
      </w:r>
      <w:r>
        <w:t xml:space="preserve"> Morgan-Tanimoto </w:t>
      </w:r>
      <w:r>
        <w:t>阈值，不能替代时间切分、靶点感知切分或前瞻性外部验证。</w:t>
      </w:r>
    </w:p>
    <w:p w14:paraId="079210E0" w14:textId="77777777" w:rsidR="00EE56A9" w:rsidRDefault="00721CC4">
      <w:r>
        <w:t>现代候选包括冻结</w:t>
      </w:r>
      <w:r>
        <w:t xml:space="preserve"> ChemBERTa/MoLFormer </w:t>
      </w:r>
      <w:r>
        <w:t>表征的轻量嵌套预测头及锁定的一轮</w:t>
      </w:r>
      <w:r>
        <w:t xml:space="preserve"> D-MPNN</w:t>
      </w:r>
      <w:r>
        <w:t>，并非穷尽或计算充分优化的现代分子学习基准。等预算结论依赖当前硬件上的下游时间与预设前缀顺序，且不包含编码器预训练和获取成本。配对同质归一化在有限审计机会不超过</w:t>
      </w:r>
      <w:r>
        <w:t xml:space="preserve"> 1e-12 </w:t>
      </w:r>
      <w:r>
        <w:t>时无定义，所有此类单元均公开而未插补。</w:t>
      </w:r>
    </w:p>
    <w:p w14:paraId="099E28A3" w14:textId="77777777" w:rsidR="00EE56A9" w:rsidRDefault="00721CC4">
      <w:r>
        <w:t>组件消融及</w:t>
      </w:r>
      <w:r>
        <w:t>“</w:t>
      </w:r>
      <w:r>
        <w:t>端点</w:t>
      </w:r>
      <w:r>
        <w:t>×</w:t>
      </w:r>
      <w:r>
        <w:t>候选池</w:t>
      </w:r>
      <w:r>
        <w:t>×K”</w:t>
      </w:r>
      <w:r>
        <w:t>单元重复使用相同端点与折，不能视为相互独立的实验。因此，推断始终保留种子区组与端点层报告；单元计数和描述性关联未提升为总体确认性检验。</w:t>
      </w:r>
    </w:p>
    <w:p w14:paraId="13899EBA" w14:textId="77777777" w:rsidR="00EE56A9" w:rsidRDefault="00721CC4">
      <w:pPr>
        <w:pStyle w:val="1"/>
        <w:spacing w:line="360" w:lineRule="auto"/>
      </w:pPr>
      <w:r>
        <w:lastRenderedPageBreak/>
        <w:t xml:space="preserve">5 </w:t>
      </w:r>
      <w:r>
        <w:t>结论</w:t>
      </w:r>
    </w:p>
    <w:p w14:paraId="219B112D" w14:textId="77777777" w:rsidR="00EE56A9" w:rsidRDefault="00721CC4">
      <w:r>
        <w:t>在</w:t>
      </w:r>
      <w:r>
        <w:t xml:space="preserve"> 6 </w:t>
      </w:r>
      <w:r>
        <w:t>个预设分子性质端点中，候选池扩张同时改变有限审计机会、验证可实现增益、排序保真度、选择稳定性与下游成本。相较名义</w:t>
      </w:r>
      <w:r>
        <w:t xml:space="preserve"> K</w:t>
      </w:r>
      <w:r>
        <w:t>，有效多样性更接近独立效用变化，但多样性本身不能决定选择损失。</w:t>
      </w:r>
    </w:p>
    <w:p w14:paraId="54EEA963" w14:textId="77777777" w:rsidR="00EE56A9" w:rsidRDefault="00721CC4">
      <w:r>
        <w:t>强化后的审计支持一个边界明确的实践结论：只有当新增候选提供有限内层验证能够识别的互补化学信息，且下游预算可接受时，候选池扩张才具有净价值。分子机器学习基准应联合报告锁定的组成与</w:t>
      </w:r>
      <w:r>
        <w:t xml:space="preserve"> K </w:t>
      </w:r>
      <w:r>
        <w:t>阶梯、机会校正排序、交叉拟合差距、矩阵相对多样性、选择频率、锚点</w:t>
      </w:r>
      <w:r>
        <w:t>/</w:t>
      </w:r>
      <w:r>
        <w:t>归一化敏感性、计算匹配分析及切分机制敏感性。</w:t>
      </w:r>
    </w:p>
    <w:p w14:paraId="62E52416" w14:textId="77777777" w:rsidR="00EE56A9" w:rsidRDefault="00721CC4">
      <w:pPr>
        <w:pStyle w:val="1"/>
        <w:spacing w:line="360" w:lineRule="auto"/>
      </w:pPr>
      <w:r>
        <w:rPr>
          <w:rFonts w:ascii="Times New Roman" w:eastAsia="黑体" w:hAnsi="Times New Roman"/>
          <w:b w:val="0"/>
        </w:rPr>
        <w:t>补充信息</w:t>
      </w:r>
    </w:p>
    <w:p w14:paraId="0BA65A21" w14:textId="77777777" w:rsidR="00EE56A9" w:rsidRDefault="00721CC4">
      <w:pPr>
        <w:spacing w:after="0" w:line="360" w:lineRule="auto"/>
      </w:pPr>
      <w:r>
        <w:t>Additional file 1</w:t>
      </w:r>
      <w:r>
        <w:t>：补充方法与结果（含切分机制和等规模组成审计）；</w:t>
      </w:r>
      <w:r>
        <w:t>Additional file 2</w:t>
      </w:r>
      <w:r>
        <w:t>：机器可读补充表</w:t>
      </w:r>
      <w:r>
        <w:t>S1–S31</w:t>
      </w:r>
      <w:r>
        <w:t>；</w:t>
      </w:r>
      <w:r>
        <w:t>Additional file 3</w:t>
      </w:r>
      <w:r>
        <w:t>：补充图</w:t>
      </w:r>
      <w:r>
        <w:t>S1–S18</w:t>
      </w:r>
      <w:r>
        <w:t>。</w:t>
      </w:r>
    </w:p>
    <w:p w14:paraId="07DC5A51" w14:textId="77777777" w:rsidR="00EE56A9" w:rsidRDefault="00721CC4">
      <w:pPr>
        <w:pStyle w:val="1"/>
        <w:spacing w:line="360" w:lineRule="auto"/>
      </w:pPr>
      <w:r>
        <w:rPr>
          <w:rFonts w:ascii="Times New Roman" w:eastAsia="黑体" w:hAnsi="Times New Roman"/>
          <w:b w:val="0"/>
        </w:rPr>
        <w:t>参考文献</w:t>
      </w:r>
    </w:p>
    <w:p w14:paraId="2B817CFD" w14:textId="77777777" w:rsidR="00EE56A9" w:rsidRDefault="00721CC4">
      <w:pPr>
        <w:spacing w:after="0" w:line="360" w:lineRule="auto"/>
      </w:pPr>
      <w:r>
        <w:t>1. Wu Z, Ramsundar B, Feinberg EN, et al. MoleculeNet: a benchmark for molecular machine learning. Chem Sci. 2018;9:513–530. doi:10.1039/C7SC02664A.</w:t>
      </w:r>
    </w:p>
    <w:p w14:paraId="21A4CC28" w14:textId="77777777" w:rsidR="00EE56A9" w:rsidRDefault="00721CC4">
      <w:pPr>
        <w:spacing w:after="0" w:line="360" w:lineRule="auto"/>
      </w:pPr>
      <w:r>
        <w:t>2. Huang K, Fu T, Gao W, et al. Therapeutics Data Commons: machine learning datasets and tasks for drug discovery and development. NeurIPS Datasets and Benchmarks Track. 2021. arXiv:2102.09548.</w:t>
      </w:r>
    </w:p>
    <w:p w14:paraId="4A38D0A1" w14:textId="77777777" w:rsidR="00EE56A9" w:rsidRDefault="00721CC4">
      <w:pPr>
        <w:spacing w:after="0" w:line="360" w:lineRule="auto"/>
      </w:pPr>
      <w:r>
        <w:t>3. Cawley GC, Talbot NLC. On over-fitting in model selection and subsequent selection bias in performance evaluation. J Mach Learn Res. 2010;11:2079–2107.</w:t>
      </w:r>
    </w:p>
    <w:p w14:paraId="00A88FE0" w14:textId="77777777" w:rsidR="00EE56A9" w:rsidRDefault="00721CC4">
      <w:pPr>
        <w:spacing w:after="0" w:line="360" w:lineRule="auto"/>
      </w:pPr>
      <w:r>
        <w:t>4. Varma S, Simon R. Bias in error estimation when using cross-validation for model selection. BMC Bioinformatics. 2006;7:91. doi:10.1186/1471-2105-7-91.</w:t>
      </w:r>
    </w:p>
    <w:p w14:paraId="5DA4409E" w14:textId="77777777" w:rsidR="00EE56A9" w:rsidRDefault="00721CC4">
      <w:pPr>
        <w:spacing w:after="0" w:line="360" w:lineRule="auto"/>
      </w:pPr>
      <w:r>
        <w:t>5. Zhao D, Zhu Y, Wu Z, et al. Revisiting ADMET prediction reliability under real-world challenges in the foundation model era. J Cheminform. 2026. doi:10.1186/s13321-026-01217-2.</w:t>
      </w:r>
    </w:p>
    <w:p w14:paraId="014FC8BE" w14:textId="77777777" w:rsidR="00EE56A9" w:rsidRDefault="00721CC4">
      <w:pPr>
        <w:spacing w:after="0" w:line="360" w:lineRule="auto"/>
      </w:pPr>
      <w:r>
        <w:t>6. Zhang L, Zeng Y, Qi Y, et al. DCPM-ADMET: fusion of dual-component pre-trained model and molecular fingerprints to enhance drug ADMET properties prediction. J Cheminform. 2026. doi:10.1186/s13321-026-01244-z.</w:t>
      </w:r>
    </w:p>
    <w:p w14:paraId="6CD4C9B5" w14:textId="77777777" w:rsidR="00EE56A9" w:rsidRDefault="00721CC4">
      <w:pPr>
        <w:spacing w:after="0" w:line="360" w:lineRule="auto"/>
      </w:pPr>
      <w:r>
        <w:lastRenderedPageBreak/>
        <w:t>7. Jang Y, Lee J, Jeong K, Kim J. Multimodal graph fusion with statistically guided parsimonious descriptor selection for molecular property prediction. J Cheminform. 2026;18:18. doi:10.1186/s13321-025-01140-y.</w:t>
      </w:r>
    </w:p>
    <w:p w14:paraId="3A4B16CC" w14:textId="77777777" w:rsidR="00EE56A9" w:rsidRDefault="00721CC4">
      <w:pPr>
        <w:spacing w:after="0" w:line="360" w:lineRule="auto"/>
      </w:pPr>
      <w:r>
        <w:t>8. Zhang Y, Liu W, Zhao H, et al. MolGramTreeNet: a multimodal molecular property prediction model via grammar tree-constrained molecular representation. iScience. 2026;29:114928. doi:10.1016/j.isci.2026.114928.</w:t>
      </w:r>
    </w:p>
    <w:p w14:paraId="6DB660A8" w14:textId="77777777" w:rsidR="00EE56A9" w:rsidRDefault="00721CC4">
      <w:pPr>
        <w:spacing w:after="0" w:line="360" w:lineRule="auto"/>
      </w:pPr>
      <w:r>
        <w:t>9. Wen X, Liu H, Long W, Wei S, Zhu R. Consistent semantic representation learning for out-of-distribution molecular property prediction. Brief Bioinform. 2025;26:bbaf147. doi:10.1093/bib/bbaf147.</w:t>
      </w:r>
    </w:p>
    <w:p w14:paraId="08A6F0FD" w14:textId="77777777" w:rsidR="00EE56A9" w:rsidRDefault="00721CC4">
      <w:pPr>
        <w:spacing w:after="0" w:line="360" w:lineRule="auto"/>
      </w:pPr>
      <w:r>
        <w:t>10. Yin T, Gao P, Panapitiya G, Saldanha EG. Out-of-distribution evaluation of active learning pipelines for molecular property prediction. RSC Adv. 2026;16:5281–5295. doi:10.1039/D5RA08055J.</w:t>
      </w:r>
    </w:p>
    <w:p w14:paraId="0777D961" w14:textId="77777777" w:rsidR="00EE56A9" w:rsidRDefault="00721CC4">
      <w:pPr>
        <w:spacing w:after="0" w:line="360" w:lineRule="auto"/>
      </w:pPr>
      <w:r>
        <w:t>11. Uchibori Y, Kaneko H. Generation of molecules near the applicability domain boundaries of property prediction models. J Chem Inf Model. 2026;66:6866–6879. doi:10.1021/acs.jcim.5c03220.</w:t>
      </w:r>
    </w:p>
    <w:p w14:paraId="1BDB0BF2" w14:textId="77777777" w:rsidR="00EE56A9" w:rsidRDefault="00721CC4">
      <w:pPr>
        <w:spacing w:after="0" w:line="360" w:lineRule="auto"/>
      </w:pPr>
      <w:r>
        <w:t>12. Kim JY, Vlachos DG. Distance-aware molecular property prediction in nonlinear structure–property space. J Chem Inf Model. 2025;65:6744–6756. doi:10.1021/acs.jcim.5c01037.</w:t>
      </w:r>
    </w:p>
    <w:p w14:paraId="3D66151C" w14:textId="77777777" w:rsidR="00EE56A9" w:rsidRDefault="00721CC4">
      <w:pPr>
        <w:spacing w:after="0" w:line="360" w:lineRule="auto"/>
      </w:pPr>
      <w:r>
        <w:t>13. Tang H, Yue T, Li Y. Assessing uncertainty in machine learning for polymer property prediction: a benchmark study. J Chem Inf Model. 2025;65:6585–6598. doi:10.1021/acs.jcim.5c00550.</w:t>
      </w:r>
    </w:p>
    <w:p w14:paraId="1044B6FB" w14:textId="77777777" w:rsidR="00EE56A9" w:rsidRDefault="00721CC4">
      <w:pPr>
        <w:spacing w:after="0" w:line="360" w:lineRule="auto"/>
      </w:pPr>
      <w:r>
        <w:t>14. Fralish Z, Reker D. Pairwise learning for molecular property prediction and optimization. Front Drug Discov. 2026;6:1859068. doi:10.3389/fddsv.2026.1859068.</w:t>
      </w:r>
    </w:p>
    <w:p w14:paraId="372C6C90" w14:textId="77777777" w:rsidR="00EE56A9" w:rsidRDefault="00721CC4">
      <w:pPr>
        <w:spacing w:after="0" w:line="360" w:lineRule="auto"/>
      </w:pPr>
      <w:r>
        <w:t>15. Landrum G. RDKit: open-source cheminformatics software. Version 2026.3.1. https://www.rdkit.org/. Accessed 12 July 2026.</w:t>
      </w:r>
    </w:p>
    <w:p w14:paraId="3E4D9EB0" w14:textId="77777777" w:rsidR="00EE56A9" w:rsidRDefault="00721CC4">
      <w:pPr>
        <w:spacing w:after="0" w:line="360" w:lineRule="auto"/>
      </w:pPr>
      <w:r>
        <w:t>16. Rogers D, Hahn M. Extended-connectivity fingerprints. J Chem Inf Model. 2010;50:742–754. doi:10.1021/ci100050t.</w:t>
      </w:r>
    </w:p>
    <w:p w14:paraId="42CD9FA0" w14:textId="77777777" w:rsidR="00EE56A9" w:rsidRDefault="00721CC4">
      <w:pPr>
        <w:spacing w:after="0" w:line="360" w:lineRule="auto"/>
      </w:pPr>
      <w:r>
        <w:t>17. Breiman L. Random forests. Mach Learn. 2001;45:5–32. doi:10.1023/A:1010933404324.</w:t>
      </w:r>
    </w:p>
    <w:p w14:paraId="6571A739" w14:textId="77777777" w:rsidR="00EE56A9" w:rsidRDefault="00721CC4">
      <w:pPr>
        <w:spacing w:after="0" w:line="360" w:lineRule="auto"/>
      </w:pPr>
      <w:r>
        <w:t>18. Ke G, Meng Q, Finley T, et al. LightGBM: a highly efficient gradient boosting decision tree. Adv Neural Inf Process Syst. 2017;30.</w:t>
      </w:r>
    </w:p>
    <w:p w14:paraId="54291756" w14:textId="77777777" w:rsidR="00EE56A9" w:rsidRDefault="00721CC4">
      <w:pPr>
        <w:spacing w:after="0" w:line="360" w:lineRule="auto"/>
      </w:pPr>
      <w:r>
        <w:t>19. Chen T, Guestrin C. XGBoost: a scalable tree boosting system. Proc ACM SIGKDD. 2016:785–794. doi:10.1145/2939672.2939785.</w:t>
      </w:r>
    </w:p>
    <w:p w14:paraId="47713215" w14:textId="77777777" w:rsidR="00EE56A9" w:rsidRDefault="00721CC4">
      <w:pPr>
        <w:spacing w:after="0" w:line="360" w:lineRule="auto"/>
      </w:pPr>
      <w:r>
        <w:lastRenderedPageBreak/>
        <w:t>20. Prokhorenkova L, Gusev G, Vorobev A, Dorogush AV, Gulin A. CatBoost: unbiased boosting with categorical features. Adv Neural Inf Process Syst. 2018;31:6638–6648.</w:t>
      </w:r>
    </w:p>
    <w:p w14:paraId="5C9B226C" w14:textId="77777777" w:rsidR="00EE56A9" w:rsidRDefault="00721CC4">
      <w:pPr>
        <w:spacing w:after="0" w:line="360" w:lineRule="auto"/>
      </w:pPr>
      <w:r>
        <w:t>21. Yang K, Swanson K, Jin W, et al. Analyzing learned molecular representations for property prediction. J Chem Inf Model. 2019;59:3370–3388. doi:10.1021/acs.jcim.9b00237.</w:t>
      </w:r>
    </w:p>
    <w:p w14:paraId="46847E6C" w14:textId="77777777" w:rsidR="00EE56A9" w:rsidRDefault="00721CC4">
      <w:pPr>
        <w:spacing w:after="0" w:line="360" w:lineRule="auto"/>
      </w:pPr>
      <w:r>
        <w:t>22. Chithrananda S, Grand G, Ramsundar B. ChemBERTa: large-scale self-supervised pretraining for molecular property prediction. arXiv:2010.09885. 2020.</w:t>
      </w:r>
    </w:p>
    <w:p w14:paraId="63F2D25E" w14:textId="77777777" w:rsidR="00EE56A9" w:rsidRDefault="00721CC4">
      <w:pPr>
        <w:spacing w:after="0" w:line="360" w:lineRule="auto"/>
      </w:pPr>
      <w:r>
        <w:t>23. Ross J, Belgodere B, Chenthamarakshan V, et al. Large-scale chemical language representations capture molecular structure and properties. Nat Mach Intell. 2022;4:1256–1264. doi:10.1038/s42256-022-00580-7.</w:t>
      </w:r>
    </w:p>
    <w:p w14:paraId="757D57E2" w14:textId="77777777" w:rsidR="00EE56A9" w:rsidRDefault="00721CC4">
      <w:pPr>
        <w:spacing w:after="0" w:line="360" w:lineRule="auto"/>
      </w:pPr>
      <w:r>
        <w:t>24. Erickson N, Mueller J, Shirkov A, et al. AutoGluon-Tabular: robust and accurate AutoML for structured data. arXiv:2003.06505. 2020.</w:t>
      </w:r>
    </w:p>
    <w:p w14:paraId="64A15CFB" w14:textId="77777777" w:rsidR="00EE56A9" w:rsidRDefault="00721CC4">
      <w:pPr>
        <w:spacing w:after="0" w:line="360" w:lineRule="auto"/>
      </w:pPr>
      <w:r>
        <w:t>25. Tropsha A. Best practices for QSAR model development, validation, and exploitation. Mol Inform. 2010;29:476–488. doi:10.1002/minf.201000061.</w:t>
      </w:r>
    </w:p>
    <w:p w14:paraId="1D78E7F8" w14:textId="77777777" w:rsidR="00EE56A9" w:rsidRDefault="00721CC4">
      <w:pPr>
        <w:spacing w:after="0" w:line="360" w:lineRule="auto"/>
      </w:pPr>
      <w:r>
        <w:t>26. Vovk V, Gammerman A, Shafer G. Algorithmic Learning in a Random World. New York: Springer; 2005.</w:t>
      </w:r>
    </w:p>
    <w:p w14:paraId="4267E651" w14:textId="77777777" w:rsidR="00EE56A9" w:rsidRDefault="00721CC4">
      <w:pPr>
        <w:spacing w:after="0" w:line="360" w:lineRule="auto"/>
      </w:pPr>
      <w:r>
        <w:t>27. Shafer G, Vovk V. A tutorial on conformal prediction. J Mach Learn Res. 2008;9:371–421.</w:t>
      </w:r>
    </w:p>
    <w:p w14:paraId="26FB875F" w14:textId="77777777" w:rsidR="00EE56A9" w:rsidRDefault="00721CC4">
      <w:pPr>
        <w:spacing w:after="0" w:line="360" w:lineRule="auto"/>
      </w:pPr>
      <w:r>
        <w:t>28. Guo C, Pleiss G, Sun Y, Weinberger KQ. On calibration of modern neural networks. Proc ICML. 2017;70:1321–1330.</w:t>
      </w:r>
    </w:p>
    <w:p w14:paraId="1A85081A" w14:textId="77777777" w:rsidR="00EE56A9" w:rsidRDefault="00721CC4">
      <w:pPr>
        <w:spacing w:after="0" w:line="360" w:lineRule="auto"/>
      </w:pPr>
      <w:r>
        <w:t>29. van Tilborg D, Alenicheva A, Grisoni F. Exposing the limitations of molecular machine learning with activity cliffs. J Chem Inf Model. 2022;62:5938–5951. doi:10.1021/acs.jcim.2c01073.</w:t>
      </w:r>
    </w:p>
    <w:p w14:paraId="7C9496F2" w14:textId="77777777" w:rsidR="00EE56A9" w:rsidRDefault="00721CC4">
      <w:pPr>
        <w:spacing w:after="0" w:line="360" w:lineRule="auto"/>
      </w:pPr>
      <w:r>
        <w:t>30. Sheridan RP. Time-split cross-validation as a method for estimating the goodness of prospective prediction. J Chem Inf Model. 2013;53:783–790. doi:10.1021/ci400084k.</w:t>
      </w:r>
    </w:p>
    <w:p w14:paraId="6B6FC962" w14:textId="77777777" w:rsidR="00EE56A9" w:rsidRDefault="00721CC4">
      <w:pPr>
        <w:spacing w:after="0" w:line="360" w:lineRule="auto"/>
      </w:pPr>
      <w:r>
        <w:t>31. Demšar J. Statistical comparisons of classifiers over multiple data sets. J Mach Learn Res. 2006;7:1–30.</w:t>
      </w:r>
    </w:p>
    <w:p w14:paraId="3A8D9E07" w14:textId="77777777" w:rsidR="00EE56A9" w:rsidRDefault="00721CC4">
      <w:pPr>
        <w:spacing w:after="0" w:line="360" w:lineRule="auto"/>
      </w:pPr>
      <w:r>
        <w:t>32. Hoyt CT, Zdrazil B, Guha R, et al. Improving reproducibility and reusability in the Journal of Cheminformatics. J Cheminform. 2023;15:62. doi:10.1186/s13321-023-00730-y.</w:t>
      </w:r>
    </w:p>
    <w:p w14:paraId="65F43BE5" w14:textId="77777777" w:rsidR="00EE56A9" w:rsidRDefault="00721CC4">
      <w:pPr>
        <w:spacing w:after="0" w:line="360" w:lineRule="auto"/>
      </w:pPr>
      <w:r>
        <w:t>33. Parrondo-Pizarro R, Lanini J, Rodríguez-Pérez R. Uncertainty quantification in molecular machine learning for property predictions under data shifts. J Chem Inf Model. 2026;66:923–935. doi:10.1021/acs.jcim.5c02381.</w:t>
      </w:r>
    </w:p>
    <w:p w14:paraId="65AAB9B9" w14:textId="77777777" w:rsidR="00EE56A9" w:rsidRDefault="00721CC4">
      <w:pPr>
        <w:spacing w:after="0" w:line="360" w:lineRule="auto"/>
      </w:pPr>
      <w:r>
        <w:lastRenderedPageBreak/>
        <w:t>34. Deng J, Yang Z, Wang H, Ojima I, Samaras D, Wang F. A systematic study of key elements underlying molecular property prediction. Nat Commun. 2023;14:6395. doi:10.1038/s41467-023-41948-6.</w:t>
      </w:r>
    </w:p>
    <w:p w14:paraId="61A3DFDF" w14:textId="77777777" w:rsidR="00EE56A9" w:rsidRDefault="00721CC4">
      <w:pPr>
        <w:spacing w:after="0" w:line="360" w:lineRule="auto"/>
      </w:pPr>
      <w:r>
        <w:t>35. Li Z, Chen X, Wen H, et al. A systematic survey and benchmark of deep learning for molecular property prediction in the foundation model era. arXiv:2604.16586. 2026.</w:t>
      </w:r>
    </w:p>
    <w:p w14:paraId="66D05CE7" w14:textId="77777777" w:rsidR="00EE56A9" w:rsidRDefault="00721CC4">
      <w:pPr>
        <w:spacing w:after="0" w:line="360" w:lineRule="auto"/>
      </w:pPr>
      <w:r>
        <w:t>36. Romano Y, Patterson E, Candès EJ. Conformalized quantile regression. Adv Neural Inf Process Syst. 2019;32.</w:t>
      </w:r>
    </w:p>
    <w:sectPr w:rsidR="00EE56A9" w:rsidSect="00034616">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0584A" w14:textId="77777777" w:rsidR="00DF7F9B" w:rsidRDefault="00DF7F9B">
      <w:pPr>
        <w:spacing w:after="0" w:line="240" w:lineRule="auto"/>
      </w:pPr>
      <w:r>
        <w:separator/>
      </w:r>
    </w:p>
  </w:endnote>
  <w:endnote w:type="continuationSeparator" w:id="0">
    <w:p w14:paraId="71B992BB" w14:textId="77777777" w:rsidR="00DF7F9B" w:rsidRDefault="00DF7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26E8" w14:textId="77777777" w:rsidR="00EE56A9" w:rsidRDefault="00721CC4">
    <w:pPr>
      <w:pStyle w:val="a7"/>
      <w:jc w:val="center"/>
    </w:pPr>
    <w:r>
      <w:fldChar w:fldCharType="begin"/>
    </w:r>
    <w:r>
      <w:instrText>PAGE</w:instrText>
    </w:r>
    <w:r>
      <w:fldChar w:fldCharType="separate"/>
    </w:r>
    <w:r w:rsidR="00CC0F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48665" w14:textId="77777777" w:rsidR="00DF7F9B" w:rsidRDefault="00DF7F9B">
      <w:pPr>
        <w:spacing w:after="0" w:line="240" w:lineRule="auto"/>
      </w:pPr>
      <w:r>
        <w:separator/>
      </w:r>
    </w:p>
  </w:footnote>
  <w:footnote w:type="continuationSeparator" w:id="0">
    <w:p w14:paraId="499598C6" w14:textId="77777777" w:rsidR="00DF7F9B" w:rsidRDefault="00DF7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000995">
    <w:abstractNumId w:val="8"/>
  </w:num>
  <w:num w:numId="2" w16cid:durableId="2009164983">
    <w:abstractNumId w:val="6"/>
  </w:num>
  <w:num w:numId="3" w16cid:durableId="1380517349">
    <w:abstractNumId w:val="5"/>
  </w:num>
  <w:num w:numId="4" w16cid:durableId="2093967954">
    <w:abstractNumId w:val="4"/>
  </w:num>
  <w:num w:numId="5" w16cid:durableId="1627928947">
    <w:abstractNumId w:val="7"/>
  </w:num>
  <w:num w:numId="6" w16cid:durableId="1780221309">
    <w:abstractNumId w:val="3"/>
  </w:num>
  <w:num w:numId="7" w16cid:durableId="1263295570">
    <w:abstractNumId w:val="2"/>
  </w:num>
  <w:num w:numId="8" w16cid:durableId="2091154415">
    <w:abstractNumId w:val="1"/>
  </w:num>
  <w:num w:numId="9" w16cid:durableId="1497959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644"/>
    <w:rsid w:val="00034616"/>
    <w:rsid w:val="0006063C"/>
    <w:rsid w:val="00094ACB"/>
    <w:rsid w:val="0015074B"/>
    <w:rsid w:val="0029639D"/>
    <w:rsid w:val="00326F90"/>
    <w:rsid w:val="00721CC4"/>
    <w:rsid w:val="007A16D2"/>
    <w:rsid w:val="00AA1D8D"/>
    <w:rsid w:val="00B47730"/>
    <w:rsid w:val="00CB0664"/>
    <w:rsid w:val="00CC0F03"/>
    <w:rsid w:val="00DF7F9B"/>
    <w:rsid w:val="00EE5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932D9A"/>
  <w14:defaultImageDpi w14:val="300"/>
  <w15:docId w15:val="{5B0F06A8-1A41-4CDF-A105-05B08D02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8841</Words>
  <Characters>14855</Characters>
  <Application>Microsoft Office Word</Application>
  <DocSecurity>0</DocSecurity>
  <Lines>450</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分子性质预测中候选池扩张、验证排序失真与模型选择损失：一项回顾性嵌套审计研究</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2026-07-17T13:29:00Z</dcterms:modified>
  <cp:category/>
</cp:coreProperties>
</file>