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Paper31 reviewer-concern response and evidence-location matrix</w:t>
      </w:r>
    </w:p>
    <w:p>
      <w:r>
        <w:t>This matrix records where each strengthened analysis is implemented. It is an internal submission aid and does not convert sensitivity analyses into confirmatory claims.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Reviewer concern</w:t>
            </w:r>
          </w:p>
        </w:tc>
        <w:tc>
          <w:tcPr>
            <w:tcW w:type="dxa" w:w="2880"/>
          </w:tcPr>
          <w:p>
            <w:r>
              <w:t>Added control</w:t>
            </w:r>
          </w:p>
        </w:tc>
        <w:tc>
          <w:tcPr>
            <w:tcW w:type="dxa" w:w="2880"/>
          </w:tcPr>
          <w:p>
            <w:r>
              <w:t>Evidence location</w:t>
            </w:r>
          </w:p>
        </w:tc>
      </w:tr>
      <w:tr>
        <w:tc>
          <w:tcPr>
            <w:tcW w:type="dxa" w:w="2880"/>
          </w:tcPr>
          <w:p>
            <w:r>
              <w:t>Equal-size evidence covered only three endpoints and K=16/32</w:t>
            </w:r>
          </w:p>
        </w:tc>
        <w:tc>
          <w:tcPr>
            <w:tcW w:type="dxa" w:w="2880"/>
          </w:tcPr>
          <w:p>
            <w:r>
              <w:t>Six prespecified endpoints; K=4/8/16/32 exact prefixes</w:t>
            </w:r>
          </w:p>
        </w:tc>
        <w:tc>
          <w:tcPr>
            <w:tcW w:type="dxa" w:w="2880"/>
          </w:tcPr>
          <w:p>
            <w:r>
              <w:t>Methods 2.14; Results 3.10; Figure 7; Figure S16; Table S32</w:t>
            </w:r>
          </w:p>
        </w:tc>
      </w:tr>
      <w:tr>
        <w:tc>
          <w:tcPr>
            <w:tcW w:type="dxa" w:w="2880"/>
          </w:tcPr>
          <w:p>
            <w:r>
              <w:t>Modern panel was a boundary check rather than a component intervention</w:t>
            </w:r>
          </w:p>
        </w:tc>
        <w:tc>
          <w:tcPr>
            <w:tcW w:type="dxa" w:w="2880"/>
          </w:tcPr>
          <w:p>
            <w:r>
              <w:t>Fixed-K ChemBERTa, MoLFormer, D-MPNN and full-modern ablations</w:t>
            </w:r>
          </w:p>
        </w:tc>
        <w:tc>
          <w:tcPr>
            <w:tcW w:type="dxa" w:w="2880"/>
          </w:tcPr>
          <w:p>
            <w:r>
              <w:t>Methods 2.14; Figure S17; Table S33</w:t>
            </w:r>
          </w:p>
        </w:tc>
      </w:tr>
      <w:tr>
        <w:tc>
          <w:tcPr>
            <w:tcW w:type="dxa" w:w="2880"/>
          </w:tcPr>
          <w:p>
            <w:r>
              <w:t>Compute exposure could explain composition effects</w:t>
            </w:r>
          </w:p>
        </w:tc>
        <w:tc>
          <w:tcPr>
            <w:tcW w:type="dxa" w:w="2880"/>
          </w:tcPr>
          <w:p>
            <w:r>
              <w:t>Locked equal-downstream-budget prefix sensitivity</w:t>
            </w:r>
          </w:p>
        </w:tc>
        <w:tc>
          <w:tcPr>
            <w:tcW w:type="dxa" w:w="2880"/>
          </w:tcPr>
          <w:p>
            <w:r>
              <w:t>Figure 7D; Figure S21; Tables S33 and S36</w:t>
            </w:r>
          </w:p>
        </w:tc>
      </w:tr>
      <w:tr>
        <w:tc>
          <w:tcPr>
            <w:tcW w:type="dxa" w:w="2880"/>
          </w:tcPr>
          <w:p>
            <w:r>
              <w:t>Anchor and normalization choices could determine direction</w:t>
            </w:r>
          </w:p>
        </w:tc>
        <w:tc>
          <w:tcPr>
            <w:tcW w:type="dxa" w:w="2880"/>
          </w:tcPr>
          <w:p>
            <w:r>
              <w:t>Three predefined anchors and raw/MAD/paired-homogeneous normalizations</w:t>
            </w:r>
          </w:p>
        </w:tc>
        <w:tc>
          <w:tcPr>
            <w:tcW w:type="dxa" w:w="2880"/>
          </w:tcPr>
          <w:p>
            <w:r>
              <w:t>Methods 2.14-2.15; Figure S18; Table S34</w:t>
            </w:r>
          </w:p>
        </w:tc>
      </w:tr>
      <w:tr>
        <w:tc>
          <w:tcPr>
            <w:tcW w:type="dxa" w:w="2880"/>
          </w:tcPr>
          <w:p>
            <w:r>
              <w:t>Composition effects were not tested under strict structure separation</w:t>
            </w:r>
          </w:p>
        </w:tc>
        <w:tc>
          <w:tcPr>
            <w:tcW w:type="dxa" w:w="2880"/>
          </w:tcPr>
          <w:p>
            <w:r>
              <w:t>Full three-pool loop under scaffold and Tanimoto-component splits</w:t>
            </w:r>
          </w:p>
        </w:tc>
        <w:tc>
          <w:tcPr>
            <w:tcW w:type="dxa" w:w="2880"/>
          </w:tcPr>
          <w:p>
            <w:r>
              <w:t>Results 3.10; Figure S19; Table S35</w:t>
            </w:r>
          </w:p>
        </w:tc>
      </w:tr>
      <w:tr>
        <w:tc>
          <w:tcPr>
            <w:tcW w:type="dxa" w:w="2880"/>
          </w:tcPr>
          <w:p>
            <w:r>
              <w:t>Effective diversity may not be usable by validation</w:t>
            </w:r>
          </w:p>
        </w:tc>
        <w:tc>
          <w:tcPr>
            <w:tcW w:type="dxa" w:w="2880"/>
          </w:tcPr>
          <w:p>
            <w:r>
              <w:t>Candidate/representation/family frequencies, entropy, seed agreement and fold switches</w:t>
            </w:r>
          </w:p>
        </w:tc>
        <w:tc>
          <w:tcPr>
            <w:tcW w:type="dxa" w:w="2880"/>
          </w:tcPr>
          <w:p>
            <w:r>
              <w:t>Figure 7C; Figure S20; Table S36</w:t>
            </w:r>
          </w:p>
        </w:tc>
      </w:tr>
      <w:tr>
        <w:tc>
          <w:tcPr>
            <w:tcW w:type="dxa" w:w="2880"/>
          </w:tcPr>
          <w:p>
            <w:r>
              <w:t>Core estimands lacked numbered mathematical definitions</w:t>
            </w:r>
          </w:p>
        </w:tc>
        <w:tc>
          <w:tcPr>
            <w:tcW w:type="dxa" w:w="2880"/>
          </w:tcPr>
          <w:p>
            <w:r>
              <w:t>Twenty-seven native Word equations with explicit aggregation and epsilon</w:t>
            </w:r>
          </w:p>
        </w:tc>
        <w:tc>
          <w:tcPr>
            <w:tcW w:type="dxa" w:w="2880"/>
          </w:tcPr>
          <w:p>
            <w:r>
              <w:t>Methods 2.15; equation notation and code-mapping workbook</w:t>
            </w:r>
          </w:p>
        </w:tc>
      </w:tr>
      <w:tr>
        <w:tc>
          <w:tcPr>
            <w:tcW w:type="dxa" w:w="2880"/>
          </w:tcPr>
          <w:p>
            <w:r>
              <w:t>Endpoint-pool-K cells risk pseudoreplication</w:t>
            </w:r>
          </w:p>
        </w:tc>
        <w:tc>
          <w:tcPr>
            <w:tcW w:type="dxa" w:w="2880"/>
          </w:tcPr>
          <w:p>
            <w:r>
              <w:t>Outer folds averaged within seed; five seeds retained as bootstrap blocks</w:t>
            </w:r>
          </w:p>
        </w:tc>
        <w:tc>
          <w:tcPr>
            <w:tcW w:type="dxa" w:w="2880"/>
          </w:tcPr>
          <w:p>
            <w:r>
              <w:t>Methods 2.16; all expanded summary tables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