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0" w:after="0" w:line="480" w:lineRule="auto"/>
        <w:jc w:val="center"/>
        <w:rPr>
          <w:rFonts w:ascii="Times New Roman" w:hAnsi="Times New Roman" w:eastAsia="Times New Roman" w:cs="Times New Roman"/>
          <w:sz w:val="30"/>
          <w:lang w:eastAsia="zh-CN"/>
        </w:rPr>
      </w:pPr>
      <w:r>
        <w:rPr>
          <w:rFonts w:ascii="Times New Roman" w:hAnsi="Times New Roman" w:eastAsia="SimSun" w:cs="Times New Roman"/>
          <w:sz w:val="30"/>
          <w:lang w:eastAsia="zh-CN"/>
        </w:rPr>
        <w:t>Candidate-pool opportunity and selection stability under finite validation in molecular property prediction: a repeated nested audit</w:t>
      </w:r>
    </w:p>
    <w:p>
      <w:pPr>
        <w:pStyle w:val="3"/>
        <w:spacing w:before="0" w:after="0" w:line="480" w:lineRule="auto"/>
        <w:jc w:val="center"/>
        <w:rPr>
          <w:rFonts w:ascii="Times New Roman" w:hAnsi="Times New Roman" w:eastAsia="Times New Roman" w:cs="Times New Roman"/>
          <w:sz w:val="24"/>
          <w:lang w:eastAsia="zh-CN"/>
        </w:rPr>
      </w:pPr>
      <w:r>
        <w:rPr>
          <w:rFonts w:ascii="Times New Roman" w:hAnsi="Times New Roman" w:eastAsia="SimSun" w:cs="Times New Roman"/>
          <w:sz w:val="24"/>
          <w:lang w:eastAsia="zh-CN"/>
        </w:rPr>
        <w:t>Additional file 1</w:t>
      </w:r>
    </w:p>
    <w:p>
      <w:pPr>
        <w:pStyle w:val="3"/>
        <w:spacing w:before="0" w:after="0" w:line="480" w:lineRule="auto"/>
        <w:jc w:val="center"/>
        <w:rPr>
          <w:rFonts w:ascii="Times New Roman" w:hAnsi="Times New Roman" w:eastAsia="Times New Roman" w:cs="Times New Roman"/>
        </w:rPr>
      </w:pPr>
      <w:r>
        <w:rPr>
          <w:rFonts w:ascii="Times New Roman" w:hAnsi="Times New Roman" w:eastAsia="SimSun" w:cs="Times New Roman"/>
          <w:sz w:val="24"/>
        </w:rPr>
        <w:t>Supplementary Methods and Results</w:t>
      </w:r>
    </w:p>
    <w:p>
      <w:r>
        <w:t>Journal: Journal of Cheminformatics</w:t>
      </w:r>
    </w:p>
    <w:p>
      <w:r>
        <w:t>Authors: Furong Zheng; Yu Gao; Yuancheng Zeng; Weiwei Zeng; Junxiong Guo; Yejin Huang; Yongxia Yang; Luonan Qiu</w:t>
      </w:r>
    </w:p>
    <w:p>
      <w:r>
        <w:t>Correspondence: Yongxia Yang (yangyongxia@gdpu.edu.cn); Luonan Qiu (532039615@qq.com)</w:t>
      </w:r>
    </w:p>
    <w:p>
      <w:r>
        <w:t>Description: Contains the detailed algorithms, sensitivity analyses, negative-result documentation, and supplementary table and figure descriptions.</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 Evidence hierarchy and reconstruction</w:t>
      </w:r>
    </w:p>
    <w:p>
      <w:pPr>
        <w:spacing w:after="0" w:line="480" w:lineRule="auto" w:before="0"/>
        <w:jc w:val="left"/>
        <w:rPr>
          <w:rFonts w:eastAsia="Times New Roman" w:cs="Times New Roman"/>
          <w:sz w:val="22"/>
        </w:rPr>
      </w:pPr>
      <w:r>
        <w:rPr>
          <w:rFonts w:ascii="Times New Roman" w:hAnsi="Times New Roman" w:eastAsia="SimSun"/>
          <w:sz w:val="24"/>
        </w:rPr>
        <w:t>Evidence was retained in five levels that answer different questions and are not combined into one leaderboard. The current primary analysis is the nine-endpoint, 32-candidate, ten-split-seed lightweight-registry audit in Section S22 and Tables S37–S49. Five-split-seed analyses, alternative registries, restricted endpoint panels, historical outputs, and heterogeneous compute budgets are secondary or contextual. They test mechanisms, transport, reliability, or boundary conditions and are not independent confirmation of the primary estimand. The analysis chronology, frozen decision rules, and source hierarchy are included in the machine-readable supplement and code archive.</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S2 Seed, split and prediction-hash audit</w:t>
      </w:r>
    </w:p>
    <w:p>
      <w:pPr>
        <w:spacing w:after="0" w:line="480" w:lineRule="auto" w:before="0"/>
        <w:jc w:val="left"/>
        <w:rPr>
          <w:rFonts w:eastAsia="Times New Roman" w:cs="Times New Roman"/>
          <w:sz w:val="22"/>
        </w:rPr>
      </w:pPr>
      <w:r>
        <w:rPr>
          <w:rFonts w:ascii="Times New Roman" w:hAnsi="Times New Roman" w:eastAsia="SimSun"/>
          <w:sz w:val="24"/>
        </w:rPr>
        <w:t>The current primary lightweight registry used ten split-seed-specific scaffold partitions: 11, 23, 37, 53, 71, 83, 97, 113, 127 and 149. Canonical molecules were grouped by Bemis–Murcko scaffold with chirality disabled. Classification used stratified allocation of intact groups and regression used seeded sample-count balancing of intact groups. Each outer training partition was split again by the same task-appropriate rule. All primary assessment folds met feasibility rules and had no scaffold overlap; no random fallback entered the current primary matrix. Legacy unseeded GroupKFold files are restricted to split-transition provenance.</w:t>
      </w:r>
    </w:p>
    <w:p>
      <w:pPr>
        <w:spacing w:after="0" w:line="480" w:lineRule="auto" w:before="0"/>
        <w:jc w:val="left"/>
        <w:rPr>
          <w:rFonts w:eastAsia="Times New Roman" w:cs="Times New Roman"/>
          <w:sz w:val="22"/>
        </w:rPr>
      </w:pPr>
      <w:r>
        <w:rPr>
          <w:rFonts w:ascii="Times New Roman" w:hAnsi="Times New Roman" w:eastAsia="SimSun"/>
          <w:sz w:val="24"/>
        </w:rPr>
        <w:t>S2.1 Repeated nested audit algorithm</w:t>
      </w:r>
    </w:p>
    <w:p>
      <w:pPr>
        <w:spacing w:after="0" w:line="480" w:lineRule="auto" w:before="0"/>
        <w:jc w:val="left"/>
        <w:rPr>
          <w:rFonts w:eastAsia="Times New Roman" w:cs="Times New Roman"/>
          <w:sz w:val="22"/>
        </w:rPr>
      </w:pPr>
      <w:r>
        <w:rPr>
          <w:rFonts w:ascii="Times New Roman" w:hAnsi="Times New Roman" w:eastAsia="SimSun"/>
          <w:sz w:val="24"/>
        </w:rPr>
        <w:t>Algorithm 1. For each endpoint e and registered split seed s: (1) construct the frozen outer scaffold partition; (2) for each outer fold f, construct three inner folds only from the outer-training molecules; (3) fit every eligible candidate and every data-dependent transformation within each inner-training fold; (4) average the three inner-validation utilities; (5) choose the maximum-utility candidate, resolving an exact tie by earlier registry order; (6) refit that frozen candidate on the complete outer-training partition and evaluate it once on the untouched outer fold; and (7) archive split hashes, selected identity, probabilities where available, utility, fit status, and runtime. Outer-fold outcomes do not alter any preceding decision.</w:t>
      </w:r>
    </w:p>
    <w:p>
      <w:pPr>
        <w:spacing w:after="0" w:line="480" w:lineRule="auto" w:before="0"/>
        <w:jc w:val="left"/>
        <w:rPr>
          <w:rFonts w:eastAsia="Times New Roman" w:cs="Times New Roman"/>
          <w:sz w:val="22"/>
        </w:rPr>
      </w:pPr>
      <w:r>
        <w:rPr>
          <w:rFonts w:ascii="Times New Roman" w:hAnsi="Times New Roman" w:eastAsia="SimSun"/>
          <w:sz w:val="24"/>
        </w:rPr>
        <w:t>A primary cell was admissible only when its registered split was feasible, all required inner and outer utilities were finite, and the expected fit matrix was complete. Current primary cells met these conditions. Any legacy fallback or failed candidate is labelled by source and excluded from the primary matrix rather than replaced silently.</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S3 Effective-rank bootstrap and reference sensitivity</w:t>
      </w:r>
    </w:p>
    <w:p>
      <w:pPr>
        <w:spacing w:after="0" w:line="480" w:lineRule="auto" w:before="0"/>
        <w:jc w:val="left"/>
        <w:rPr>
          <w:rFonts w:eastAsia="Times New Roman" w:cs="Times New Roman"/>
          <w:sz w:val="22"/>
        </w:rPr>
      </w:pPr>
      <w:r>
        <w:rPr>
          <w:rFonts w:ascii="Times New Roman" w:hAnsi="Times New Roman" w:eastAsia="SimSun"/>
          <w:sz w:val="24"/>
        </w:rPr>
        <w:t>The ten-split-seed primary effective-diversity analysis used raw, row-centred, fixed-reference-relative and within-unit-rank matrices. At K = 32, endpoint-median Ledoit–Wolf entropy ranks were 2.36, 19.25, 5.56 and 24.33, respectively. These values reflect matrix construction rather than independent candidate counts. Tables S6–S7 provide complete 30 × K outer and 90 × K inner results, leave-one-split seed/fold sensitivities and prespecified-reference analyses; no five-split seed effective-rank row is primary.</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S4 Chance-adjusted ranking aggregation</w:t>
      </w:r>
    </w:p>
    <w:p>
      <w:pPr>
        <w:spacing w:after="0" w:line="480" w:lineRule="auto" w:before="0"/>
        <w:jc w:val="left"/>
        <w:rPr>
          <w:rFonts w:eastAsia="Times New Roman" w:cs="Times New Roman"/>
          <w:sz w:val="22"/>
        </w:rPr>
      </w:pPr>
      <w:r>
        <w:rPr>
          <w:rFonts w:ascii="Times New Roman" w:hAnsi="Times New Roman" w:eastAsia="SimSun"/>
          <w:sz w:val="24"/>
        </w:rPr>
        <w:t>The original chance-adjusted ranking source contains 540 endpoint–split-seed–outer-fold–K rows from nine endpoints, five split seeds, three outer folds and four K values and is therefore a five-split-seed secondary analysis. The ten-split-seed primary reference-gap and practical-equivalence units contain 1,080 rows and are reported separately in Tables S37–S38. No five-split-seed ranking estimate is presented as a ten-split-seed primary result.</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lang w:eastAsia="zh-CN"/>
        </w:rPr>
        <w:t>S5.1 Mechanism-calibration controls</w:t>
      </w:r>
    </w:p>
    <w:p>
      <w:pPr>
        <w:spacing w:after="0" w:line="480" w:lineRule="auto" w:before="0"/>
        <w:jc w:val="left"/>
        <w:rPr>
          <w:rFonts w:eastAsia="Times New Roman" w:cs="Times New Roman"/>
          <w:sz w:val="22"/>
        </w:rPr>
      </w:pPr>
      <w:r>
        <w:rPr>
          <w:rFonts w:ascii="Times New Roman" w:hAnsi="Times New Roman" w:eastAsia="SimSun"/>
          <w:sz w:val="24"/>
        </w:rPr>
        <w:t>The random-rank negative control used 5,000 replicates and repeated the empirical fold-to-split seed-to-endpoint aggregation. The graded positive control used 4,320 locked outer-candidate utilities from 135 audit units, four K values and six injected validation–audit signal levels; non-perfect cells used 500 simulations. Observed CAHit@3 exceeded the 95% permutation envelope at every K. CAHit@3 and normalized MRR gain increased monotonically, while fixed-range selection loss decreased monotonically, with injected signal at every K. Tables S21-S22 retain every summary and outer-unit value.</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lang w:eastAsia="zh-CN"/>
        </w:rPr>
        <w:t>S5.2 Cross-fitted intervals</w:t>
      </w:r>
    </w:p>
    <w:p>
      <w:pPr>
        <w:spacing w:after="0" w:line="480" w:lineRule="auto" w:before="0"/>
        <w:jc w:val="left"/>
        <w:rPr>
          <w:rFonts w:eastAsia="Times New Roman" w:cs="Times New Roman"/>
          <w:sz w:val="22"/>
        </w:rPr>
      </w:pPr>
      <w:r>
        <w:rPr>
          <w:rFonts w:ascii="Times New Roman" w:hAnsi="Times New Roman" w:eastAsia="SimSun"/>
          <w:sz w:val="24"/>
        </w:rPr>
        <w:t>In the original five-split-seed secondary cross-fitted analysis, the three outer folds were averaged within each of five split seeds before resampling. The current primary K-invariant contrasts instead average folds within ten split seed blocks and use the other nine split seeds to select the held-out reference. Classification ROC-AUC and regression RMSE remain separate evidence strata in both analyses; their units are not pooled.</w:t>
      </w:r>
    </w:p>
    <w:p>
      <w:pPr>
        <w:spacing w:line="480" w:lineRule="auto" w:before="0" w:after="0"/>
      </w:pPr>
      <w:r>
        <w:rPr>
          <w:rFonts w:ascii="Times New Roman" w:hAnsi="Times New Roman" w:eastAsia="SimSun"/>
          <w:sz w:val="24"/>
        </w:rPr>
        <w:t>Effective diversity is an exception to the retained five-split-seed ranking panels: complete utilities were available for all ten current split seeds. Tables S6-S7 therefore use 30 x K outer and 90 x K inner matrices for every endpoint and report raw, row-centred, fixed-reference-relative and within-unit-rank estimates, leave-one-split seed/fold sensitivities and predefined-reference analyses. No five-split seed effective-rank row is presented as the primary diversity estimate.</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S6 Exhaustive matched K = 3 analysis</w:t>
      </w:r>
    </w:p>
    <w:p>
      <w:pPr>
        <w:spacing w:after="0" w:line="480" w:lineRule="auto" w:before="0"/>
        <w:jc w:val="left"/>
        <w:rPr>
          <w:rFonts w:eastAsia="Times New Roman" w:cs="Times New Roman"/>
          <w:sz w:val="22"/>
        </w:rPr>
      </w:pPr>
      <w:r>
        <w:rPr>
          <w:rFonts w:ascii="Times New Roman" w:hAnsi="Times New Roman" w:eastAsia="SimSun"/>
          <w:sz w:val="24"/>
        </w:rPr>
        <w:t>All C(12,3) = 220 subsets were enumerated from stored candidate-level inner and outer utilities without retraining. The endpoint remains the interpretation unit; overlapping subsets are sensitivity contrasts within one registry rather than independent experiments. Mutually exclusive composition classes, medians, IQRs, distribution ranges and within-endpoint outperforming-Morgan proportions are supplied. CAHit@3 is not estimable because both observed and random Hit@3 equal one at K = 3.</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S7 Chemical-support and scaffold-boundary audit</w:t>
      </w:r>
    </w:p>
    <w:p>
      <w:pPr>
        <w:spacing w:after="0" w:line="480" w:lineRule="auto" w:before="0"/>
        <w:jc w:val="left"/>
        <w:rPr>
          <w:rFonts w:eastAsia="Times New Roman" w:cs="Times New Roman"/>
          <w:sz w:val="22"/>
        </w:rPr>
      </w:pPr>
      <w:r>
        <w:rPr>
          <w:rFonts w:ascii="Times New Roman" w:hAnsi="Times New Roman" w:eastAsia="SimSun"/>
          <w:sz w:val="24"/>
        </w:rPr>
        <w:t>Molecules were stratified by maximum training-set Morgan Tanimoto as &lt;0.5, 0.5 to &lt;0.7 and at least 0.7. Traceable selected-candidate performance, error overlap, disagreement, uncertainty–error association and false-negative or high-error enrichment are reported by support stratum. Novel-scaffold quantities are expressed relative to seen-or-related scaffolds as reference = 1. These analyses are exploratory reliability boundaries rather than independent validation.</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S8 TDC endpoint analysis</w:t>
      </w:r>
    </w:p>
    <w:p>
      <w:pPr>
        <w:spacing w:after="0" w:line="480" w:lineRule="auto" w:before="0"/>
        <w:jc w:val="left"/>
        <w:rPr>
          <w:rFonts w:eastAsia="Times New Roman" w:cs="Times New Roman"/>
          <w:sz w:val="22"/>
        </w:rPr>
      </w:pPr>
      <w:r>
        <w:rPr>
          <w:rFonts w:ascii="Times New Roman" w:hAnsi="Times New Roman" w:eastAsia="SimSun"/>
          <w:sz w:val="24"/>
        </w:rPr>
        <w:t>Twenty-two TDC endpoint summaries retain official metric direction, the historical comparator, performance-run source, retained model and direction-normalized change. Evaluation budgets differ from the primary audit, so these rows provide contextual reliability evidence only.</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S9 Automated machine-learning budgets</w:t>
      </w:r>
    </w:p>
    <w:p>
      <w:pPr>
        <w:spacing w:after="0" w:line="480" w:lineRule="auto" w:before="0"/>
        <w:jc w:val="left"/>
        <w:rPr>
          <w:rFonts w:eastAsia="Times New Roman" w:cs="Times New Roman"/>
          <w:sz w:val="22"/>
        </w:rPr>
      </w:pPr>
      <w:r>
        <w:rPr>
          <w:rFonts w:ascii="Times New Roman" w:hAnsi="Times New Roman" w:eastAsia="SimSun"/>
          <w:sz w:val="24"/>
        </w:rPr>
        <w:t>AutoGluon summaries cover 30-, 300- and 1,800-second budgets across nine datasets, with 27 budget summaries and 81 outer-fold records. Fit time, model count, memory, refit status and comparisons with frozen selector baselines are retained in Table S19. Unequal feature preparation, hardware and search exposure preclude a superiority claim.</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S10 Selection-risk and leave-one-endpoint-out analyses</w:t>
      </w:r>
    </w:p>
    <w:p>
      <w:pPr>
        <w:spacing w:after="0" w:line="480" w:lineRule="auto" w:before="0"/>
        <w:jc w:val="left"/>
        <w:rPr>
          <w:rFonts w:eastAsia="Times New Roman" w:cs="Times New Roman"/>
          <w:sz w:val="22"/>
        </w:rPr>
      </w:pPr>
      <w:r>
        <w:rPr>
          <w:rFonts w:ascii="Times New Roman" w:hAnsi="Times New Roman" w:eastAsia="SimSun"/>
          <w:sz w:val="24"/>
        </w:rPr>
        <w:t>Selection-risk correlations, null calibration and nine leave-one-endpoint-out policy records are retained in Table S20. They are negative or exploratory evidence: nine endpoints cannot identify a generally transferable meta-selector, and endpoint meta-features were evaluated retrospectively.</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S11 Conformal prediction and CQR</w:t>
      </w:r>
    </w:p>
    <w:p>
      <w:pPr>
        <w:spacing w:after="60" w:line="240" w:lineRule="auto" w:before="60"/>
        <w:ind w:left="360" w:hanging="360"/>
        <w:jc w:val="left"/>
        <w:rPr>
          <w:rFonts w:eastAsia="Times New Roman" w:cs="Times New Roman"/>
          <w:sz w:val="22"/>
        </w:rPr>
      </w:pPr>
      <w:r>
        <w:rPr>
          <w:rFonts w:ascii="Times New Roman" w:hAnsi="Times New Roman" w:eastAsia="SimSun"/>
          <w:sz w:val="20"/>
        </w:rPr>
        <w:t>Table S14 contains 189 classification-conformal and regression-CQR summaries at 80%, 90% and 95% nominal coverage where available. Label-conditional and similarity-conditioned methods improved minority coverage in several tasks but enlarged prediction sets. Coverage remains conditional on the evaluated folds and does not guarantee screening utility after a new chemical shift.</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S12 MoleculeACE, bRo5 and deduplication sensitivity</w:t>
      </w:r>
    </w:p>
    <w:p>
      <w:pPr>
        <w:spacing w:after="0" w:line="480" w:lineRule="auto" w:before="0"/>
        <w:jc w:val="left"/>
        <w:rPr>
          <w:rFonts w:eastAsia="Times New Roman" w:cs="Times New Roman"/>
          <w:sz w:val="22"/>
        </w:rPr>
      </w:pPr>
      <w:r>
        <w:rPr>
          <w:rFonts w:ascii="Times New Roman" w:hAnsi="Times New Roman" w:eastAsia="SimSun"/>
          <w:sz w:val="24"/>
        </w:rPr>
        <w:t>MoleculeACE includes 17 task summaries of cliff-pair direction accuracy, gap association and pair count. The bRo5 panel retains four split summaries, including random, scaffold, perimeter and time settings where available. Eighteen deduplication-policy summaries compare global, training-fold and retained-duplicate strategies. None is presented as independent confirmation of the primary candidate-expansion effect.</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S13 Representation errors and failure cases</w:t>
      </w:r>
    </w:p>
    <w:p>
      <w:pPr>
        <w:spacing w:after="0" w:line="480" w:lineRule="auto" w:before="0"/>
        <w:jc w:val="left"/>
        <w:rPr>
          <w:rFonts w:eastAsia="Times New Roman" w:cs="Times New Roman"/>
          <w:sz w:val="22"/>
        </w:rPr>
      </w:pPr>
      <w:r>
        <w:rPr>
          <w:rFonts w:ascii="Times New Roman" w:hAnsi="Times New Roman" w:eastAsia="SimSun"/>
          <w:sz w:val="24"/>
        </w:rPr>
        <w:t>The limited prediction panel contains RDKit-RF, a GCN and frozen ChemBERTa and MoLFormer probes. Prediction and error correlations were incomplete, and training budgets were unequal. Low-support, novel-scaffold, activity-cliff, bRo5 and ClinTox minority failures delimit the evidence rather than establish a modern-model leaderboard.</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S14 Split-regime transfer audit</w:t>
      </w:r>
    </w:p>
    <w:p>
      <w:pPr>
        <w:spacing w:after="0" w:line="480" w:lineRule="auto" w:before="0"/>
        <w:jc w:val="left"/>
        <w:rPr>
          <w:rFonts w:eastAsia="Times New Roman" w:cs="Times New Roman"/>
          <w:sz w:val="22"/>
        </w:rPr>
      </w:pPr>
      <w:r>
        <w:rPr>
          <w:rFonts w:ascii="Times New Roman" w:hAnsi="Times New Roman" w:eastAsia="SimSun"/>
          <w:sz w:val="24"/>
        </w:rPr>
        <w:t>The transfer audit retained the locked candidate registry, K prefixes, five split seeds and 3 × 3 nested design for ClinTox, BACE and ESOL. Structure-separated folds used intact connected components of a Morgan-512 similarity graph with edges at Tanimoto ≥ 0.70. The threshold matched the prespecified support boundary and preserved three-fold feasibility in these endpoints; 0.60 and 0.80 sensitivity analyses were not executed. All 5,760 new fits completed without fallback. CAHit@3 and cross-fitted gap directions agreed between scaffold and component regimes in all three endpoints, but magnitudes and interval exclusion changed. Effective-rank estimates had Spearman correlation 0.832. Tables S23–S26 and Figure S19 retain full results and split manifests.</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S15 Expanded registry-composition intervention</w:t>
      </w:r>
    </w:p>
    <w:p>
      <w:pPr>
        <w:spacing w:after="0" w:line="480" w:lineRule="auto" w:before="0"/>
        <w:jc w:val="left"/>
        <w:rPr>
          <w:rFonts w:eastAsia="Times New Roman" w:cs="Times New Roman"/>
          <w:sz w:val="22"/>
        </w:rPr>
      </w:pPr>
      <w:r>
        <w:rPr>
          <w:rFonts w:ascii="Times New Roman" w:hAnsi="Times New Roman" w:eastAsia="SimSun"/>
          <w:sz w:val="24"/>
        </w:rPr>
        <w:t>The expanded intervention fixed six endpoints (ClinTox, BACE, BBBP, ESOL, Lipophilicity and Caco2_Wang), three locked registries and exact prefixes K = 4, 8, 16 and 32. Five split seeds and three outer folds yielded 1,080 primary outer units. Unit-level records contain 64,616.35 downstream fit/predict seconds; the total expanded-intervention fit count was not reconstructed.</w:t>
      </w:r>
    </w:p>
    <w:p>
      <w:pPr>
        <w:spacing w:after="0" w:line="480" w:lineRule="auto" w:before="0"/>
        <w:jc w:val="left"/>
        <w:rPr>
          <w:rFonts w:eastAsia="Times New Roman" w:cs="Times New Roman"/>
          <w:sz w:val="22"/>
        </w:rPr>
      </w:pPr>
      <w:r>
        <w:rPr>
          <w:rFonts w:ascii="Times New Roman" w:hAnsi="Times New Roman" w:eastAsia="SimSun"/>
          <w:sz w:val="24"/>
        </w:rPr>
        <w:t>The homogeneous registry used Morgan learner/tuning variants, the classical multiview registry combined Morgan, MACCS, RDKit descriptors and concatenated representations, and the modern-augmented registry interleaved locked frozen ChemBERTa and MoLFormer representations plus a separately locked one-epoch D-MPNN. The D-MPNN candidate belonged only to this expanded intervention and not to the limited four-model prediction panel. Fixed-K component ablations at K = 16 and 32 replaced prespecified classical candidates so that K remained exact.</w:t>
      </w:r>
    </w:p>
    <w:p>
      <w:pPr>
        <w:spacing w:after="0" w:line="480" w:lineRule="auto" w:before="0"/>
        <w:jc w:val="left"/>
        <w:rPr>
          <w:rFonts w:eastAsia="Times New Roman" w:cs="Times New Roman"/>
          <w:sz w:val="22"/>
        </w:rPr>
      </w:pPr>
      <w:r>
        <w:rPr>
          <w:rFonts w:ascii="Times New Roman" w:hAnsi="Times New Roman" w:eastAsia="SimSun"/>
          <w:sz w:val="24"/>
        </w:rPr>
        <w:t>Anchor sensitivity used three prespecified anchors: the shared Morgan linear candidate, a fixed Morgan random forest and the predefined registry-median candidate. Normalization sensitivity retained raw gains, endpoint-MAD normalization and paired homogeneous-audit-best normalization. The paired normalization was undefined when homogeneous finite-audit opportunity was at most 1e-12; such cells were retained as missing rather than regularized or imputed.</w:t>
      </w:r>
    </w:p>
    <w:p>
      <w:pPr>
        <w:spacing w:after="0" w:line="480" w:lineRule="auto" w:before="0"/>
        <w:jc w:val="left"/>
        <w:rPr>
          <w:rFonts w:eastAsia="Times New Roman" w:cs="Times New Roman"/>
          <w:sz w:val="22"/>
        </w:rPr>
      </w:pPr>
      <w:r>
        <w:rPr>
          <w:rFonts w:ascii="Times New Roman" w:hAnsi="Times New Roman" w:eastAsia="SimSun"/>
          <w:sz w:val="24"/>
        </w:rPr>
        <w:t>For equal-downstream-budget sensitivity, each prefix was truncated at the endpoint- and K-specific median downstream time of the classical multiview registry; outer performance never determined retention. Recorded downstream time includes inner and outer downstream fit/predict time and excludes model acquisition, encoder pretraining and cached embedding extraction. The Pareto frontier was constructed descriptively by sorting eligible pool–K–design points by mean downstream time and retaining each point only when its mean normalized selected gain exceeded the running maximum. It is a bounded downstream-compute analysis, not an end-to-end efficiency claim.</w:t>
      </w:r>
    </w:p>
    <w:p>
      <w:pPr>
        <w:spacing w:after="0" w:line="480" w:lineRule="auto" w:before="0"/>
        <w:jc w:val="left"/>
        <w:rPr>
          <w:rFonts w:eastAsia="Times New Roman" w:cs="Times New Roman"/>
          <w:sz w:val="22"/>
        </w:rPr>
      </w:pPr>
      <w:r>
        <w:rPr>
          <w:rFonts w:ascii="Times New Roman" w:hAnsi="Times New Roman" w:eastAsia="SimSun"/>
          <w:sz w:val="24"/>
        </w:rPr>
        <w:t>Selection stability used candidate selection frequencies π_j, normalized selection entropy, modal proportion, leave-one-split-seed-out agreement and adjacent-fold switches. The three-endpoint split loop repeated all three registries under seeded scaffold and Tanimoto-component splits with endpoint, split seed, fold, K, selection and metric definitions held fixed. Complete registries, unit-level records, component results, anchor and normalization sensitivity, split results, stability and budget quantities are provided in Tables S32–S36 and Figures S16–S21. For readability, dense Figures S17–S19 are split across clearly labelled continuation pages in Additional file 3; Figures S20–S21 remain full-page vector graphics.</w:t>
      </w:r>
    </w:p>
    <w:p>
      <w:pPr>
        <w:pStyle w:val="4"/>
        <w:spacing w:before="0" w:after="0" w:line="480" w:lineRule="auto"/>
        <w:rPr>
          <w:rFonts w:ascii="Times New Roman" w:hAnsi="Times New Roman" w:eastAsia="Times New Roman" w:cs="Times New Roman"/>
        </w:rPr>
      </w:pPr>
      <w:r>
        <w:rPr>
          <w:rFonts w:ascii="Times New Roman" w:hAnsi="Times New Roman" w:eastAsia="SimSun" w:cs="Times New Roman"/>
          <w:sz w:val="24"/>
        </w:rPr>
        <w:t>S16 Source limitations</w:t>
      </w:r>
    </w:p>
    <w:p>
      <w:pPr>
        <w:spacing w:after="0" w:line="480" w:lineRule="auto" w:before="0"/>
        <w:jc w:val="left"/>
        <w:rPr>
          <w:rFonts w:eastAsia="Times New Roman" w:cs="Times New Roman"/>
          <w:sz w:val="22"/>
        </w:rPr>
      </w:pPr>
      <w:r>
        <w:rPr>
          <w:rFonts w:ascii="Times New Roman" w:hAnsi="Times New Roman" w:eastAsia="SimSun"/>
          <w:sz w:val="24"/>
        </w:rPr>
        <w:t>All-candidate molecule-level predictions are complete for the regression registry and for a post-hoc rerun of the classification 32-candidate registry. The classification rerun showed small stochastic refit drift, so locked primary metrics remain the source of record and new prediction exports are used only for traceability. The archive does not retain independent repeated training seeds for every stochastic learner; split-seed intervals therefore do not identify model-seed variance, and legacy fields labelled model_seed_t95 are not treated as raw multi-model-seed evidence. Complete candidate-level prediction exports are also unavailable across the full multiview registry. These limitations preclude model-seed robustness and external-validation claims.</w:t>
      </w:r>
    </w:p>
    <w:p>
      <w:pPr>
        <w:pStyle w:val="4"/>
      </w:pPr>
      <w:r>
        <w:rPr>
          <w:rFonts w:ascii="Times New Roman" w:hAnsi="Times New Roman" w:eastAsia="Times New Roman"/>
        </w:rPr>
        <w:t>S17 Candidate-order chronology and provenance</w:t>
      </w:r>
    </w:p>
    <w:p>
      <w:pPr/>
      <w:r>
        <w:rPr>
          <w:rFonts w:ascii="Times New Roman" w:hAnsi="Times New Roman" w:eastAsia="Times New Roman"/>
        </w:rPr>
        <w:t>The candidate identities and historical order are reproducible from the registry, but the supplied records do not establish that the order preceded every inspection of outer outcomes. We therefore classify the registered order as a retrospective audited historical order. The chronology workbook records ‘not retained’ rather than inferred dates where contemporaneous evidence is unavailable. Random-order, cost-first, family-balanced, best-first, and worst-first analyses are sensitivity analyses based on stored utilities and cannot recover prospective prespecification.</w:t>
      </w:r>
    </w:p>
    <w:p>
      <w:pPr>
        <w:pStyle w:val="4"/>
      </w:pPr>
      <w:r>
        <w:rPr>
          <w:rFonts w:ascii="Times New Roman" w:hAnsi="Times New Roman" w:eastAsia="Times New Roman"/>
        </w:rPr>
        <w:t>S18 Model-seed design and matched registry composition</w:t>
      </w:r>
    </w:p>
    <w:p>
      <w:pPr/>
      <w:r>
        <w:rPr>
          <w:rFonts w:ascii="Times New Roman" w:hAnsi="Times New Roman" w:eastAsia="Times New Roman"/>
        </w:rPr>
        <w:t>Model seeds 101, 202, and 303 were crossed with split seeds 11, 83, and 149. The K = 4 registered prefix contains only deterministic candidates; stochastic learners enter from position 5. Candidate count and stochastic-candidate proportion therefore change together. We reconstructed original-prefix, family-balanced, and stochastic-proportion-balanced registries from retained inner and outer scores. For each endpoint, split seed, model seed, and outer fold, the inner-fold mean utility selected a candidate, and held-out outer utility evaluated it. Top-1 agreement, pairwise Top-3 Jaccard agreement, switch rate, utility SD, selected-utility difference, reference identity, and leave-one-split cross-fitted Δinv/Δavail/Δdep were retained. Deterministic-balanced registries were marked ineligible where four deterministic candidates could not meet the requested composition without duplication. This is exploratory secondary evidence because the three split seeds were not documented as prospectively selected.</w:t>
      </w:r>
    </w:p>
    <w:p>
      <w:pPr>
        <w:pStyle w:val="4"/>
      </w:pPr>
      <w:r>
        <w:rPr>
          <w:rFonts w:ascii="Times New Roman" w:hAnsi="Times New Roman" w:eastAsia="Times New Roman"/>
        </w:rPr>
        <w:t>S19 Forward-temporal overlap and independence audit</w:t>
      </w:r>
    </w:p>
    <w:p>
      <w:pPr/>
      <w:r>
        <w:rPr>
          <w:rFonts w:ascii="Times New Roman" w:hAnsi="Times New Roman" w:eastAsia="Times New Roman"/>
        </w:rPr>
        <w:t>The CycPept-PAMPA analysis used three overlapping forward windows. Within each window, exact train–test canonical-SMILES and InChIKey overlap was zero. We computed Bemis–Murcko scaffold overlap and, for every test molecule, its maximum Morgan-512 Tanimoto similarity to the historical training set. We also reported target mean, SD, range, and mean shift. Publication-source and peptide-family overlap were marked not auditable because those fields were absent. Cross-window record intersections were counted explicitly; earlier records were reused in later training or validation sets. The analysis is an external-source contextual transport stress test, not three independent cohorts and not validation of the nine primary endpoint effects.</w:t>
      </w:r>
    </w:p>
    <w:p>
      <w:pPr>
        <w:pStyle w:val="4"/>
      </w:pPr>
      <w:r>
        <w:rPr>
          <w:rFonts w:ascii="Times New Roman" w:hAnsi="Times New Roman" w:eastAsia="Times New Roman"/>
        </w:rPr>
        <w:t>S20 Conformal exchangeability boundary</w:t>
      </w:r>
    </w:p>
    <w:p>
      <w:pPr/>
      <w:r>
        <w:rPr>
          <w:rFonts w:ascii="Times New Roman" w:hAnsi="Times New Roman" w:eastAsia="Times New Roman"/>
        </w:rPr>
        <w:t>Because scaffold-separated, component-separated, and forward-temporal evaluation can violate exchangeability between calibration and audit samples, reported coverage values are empirical coverage estimates under observed distribution shift rather than finite-sample distribution-free guarantees. The value 0.90 is the nominal target. Label-conditional, similarity-conditioned, Mondrian, and conformalized quantile methods do not automatically restore theoretical guarantees under strong distribution shift, and coverage is not evidence of deployment readiness.</w:t>
      </w:r>
    </w:p>
    <w:p>
      <w:pPr>
        <w:pStyle w:val="4"/>
      </w:pPr>
      <w:r>
        <w:rPr>
          <w:rFonts w:ascii="Times New Roman" w:hAnsi="Times New Roman" w:eastAsia="Times New Roman"/>
        </w:rPr>
        <w:t>S21 Simulation negative-result interpretation</w:t>
      </w:r>
    </w:p>
    <w:p>
      <w:pPr/>
      <w:r>
        <w:rPr>
          <w:rFonts w:ascii="Times New Roman" w:hAnsi="Times New Roman" w:eastAsia="Times New Roman"/>
        </w:rPr>
        <w:t>The empirical-correlation heteroskedastic simulation recovered only part of endpoint-level candidate ranking. Mean Top-1 recovery across its retained endpoint–K–noise settings was 0.509. Candidate-level rank outputs needed to recompute Top-3 recovery and decomposition-direction recovery were not retained; those quantities are reported as unavailable rather than inferred. Finite-validation noise is a plausible contributor, not a sufficient generative account of all empirical completion-gap patterns and not a bias correction.</w:t>
      </w:r>
    </w:p>
    <w:p>
      <w:pPr>
        <w:pStyle w:val="4"/>
      </w:pPr>
      <w:r>
        <w:rPr>
          <w:rFonts w:ascii="Times New Roman" w:hAnsi="Times New Roman" w:eastAsia="Times New Roman"/>
        </w:rPr>
        <w:t>S22 External classification action plan and pretrained-corpus boundary</w:t>
      </w:r>
    </w:p>
    <w:p>
      <w:pPr/>
      <w:r>
        <w:rPr>
          <w:rFonts w:ascii="Times New Roman" w:hAnsi="Times New Roman" w:eastAsia="Times New Roman"/>
        </w:rPr>
        <w:t>No supplied external classification dataset satisfied source independence, InChIKey de-duplication, assay or temporal separation, and single-use frozen evaluation. The accompanying selection plan and overlap-audit script define the required workflow. ChemBERTa and MolFormer are treated as fixed pretrained representations because molecule-, scaffold-, and near-neighbour overlap between the benchmark molecules and complete pretraining corpora could not be audited.</w:t>
      </w:r>
    </w:p>
    <w:p>
      <w:pPr>
        <w:pStyle w:val="3"/>
        <w:spacing w:before="0" w:after="0" w:line="480" w:lineRule="auto"/>
        <w:rPr>
          <w:rFonts w:ascii="Times New Roman" w:hAnsi="Times New Roman" w:eastAsia="Times New Roman" w:cs="Times New Roman"/>
          <w:sz w:val="26"/>
        </w:rPr>
      </w:pPr>
      <w:r>
        <w:rPr>
          <w:rFonts w:ascii="Times New Roman" w:hAnsi="Times New Roman" w:eastAsia="SimSun" w:cs="Times New Roman"/>
          <w:sz w:val="24"/>
        </w:rPr>
        <w:t>Supplementary table directory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 Dataset provenance and cleaning.</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 Complete candidate registry.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 Candidate configurations.</w:t>
      </w:r>
    </w:p>
    <w:p>
      <w:pPr>
        <w:pStyle w:val="166"/>
        <w:spacing w:line="240" w:lineRule="auto" w:before="60" w:after="60"/>
        <w:ind w:left="360" w:hanging="360"/>
        <w:rPr>
          <w:rFonts w:cs="Times New Roman"/>
          <w:sz w:val="22"/>
        </w:rPr>
      </w:pPr>
      <w:r>
        <w:rPr>
          <w:rFonts w:ascii="Times New Roman" w:hAnsi="Times New Roman" w:eastAsia="SimSun"/>
          <w:sz w:val="20"/>
        </w:rPr>
        <w:t>Table S4. Split and split seed audit.</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S5. Fold-level utilities.</w:t>
      </w:r>
    </w:p>
    <w:p>
      <w:pPr>
        <w:pStyle w:val="166"/>
        <w:spacing w:line="240" w:lineRule="auto" w:before="60" w:after="60"/>
        <w:ind w:left="360" w:hanging="360"/>
        <w:rPr>
          <w:rFonts w:cs="Times New Roman"/>
          <w:sz w:val="22"/>
        </w:rPr>
      </w:pPr>
      <w:r>
        <w:rPr>
          <w:rFonts w:ascii="Times New Roman" w:hAnsi="Times New Roman" w:eastAsia="SimSun"/>
          <w:sz w:val="20"/>
        </w:rPr>
        <w:t>Table S6. Ten-split seed primary matrix-dependent effective diversity: endpoint estimates and outer/inner summaries.</w:t>
      </w:r>
    </w:p>
    <w:p>
      <w:pPr>
        <w:pStyle w:val="166"/>
        <w:spacing w:line="240" w:lineRule="auto" w:before="60" w:after="60"/>
        <w:ind w:left="360" w:hanging="360"/>
        <w:rPr>
          <w:rFonts w:cs="Times New Roman"/>
          <w:sz w:val="22"/>
        </w:rPr>
      </w:pPr>
      <w:r>
        <w:rPr>
          <w:rFonts w:ascii="Times New Roman" w:hAnsi="Times New Roman" w:eastAsia="SimSun"/>
          <w:sz w:val="20"/>
        </w:rPr>
        <w:t>Table S7. Ten-split seed leave-one-split seed/fold and predefined-reference sensitivity of effective diversity.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S8. Cross-fitted intervals.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S9. Matched-K subset results.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S10. Full multiview results.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S11. Prediction correlations and error overlap.</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S12. Chemical-support stratification.</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S13. Deduplication.</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S14. Conformal prediction.</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S15. TDC.</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S16. MoleculeACE.</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S17. bRo5.</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S18. Failed candidates.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S19. AutoGluon budgets.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S20. Selection risk and LOEO.</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S21. Mechanism permutation null.</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S22. Graded signal recovery.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S23. Split-regime chance-adjusted ranking units and endpoint summaries.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S24. Split-regime cross-fitted units and endpoint effects.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S25. Split-regime matrix-dependent effective diversity.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S26. Similarity-component split integrity and complete split manifest.</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S27. Equal-size candidate registry, ordering, representation and source.</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S28. Endpoint-level opportunity, realised gain, ranking, cross-fitted gap and downstream cost summary.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S29. Matrix-dependent effective diversity for all endpoint-pool-K combinations.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S30. Complete outer-unit equal-size selection audit.</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S31. Paired composition effects relative to the homogeneous Morgan registry.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S32. Expanded-intervention registry, exact prefix order, representation and source.</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S33. Modern-component ablations and component selection frequencies.</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S34. Anchor and normalization sensitivity with direction concordance.</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S35. Composition-by-split loop, direction concordance and split-specific selection stability.</w:t>
      </w:r>
    </w:p>
    <w:p>
      <w:pPr>
        <w:pStyle w:val="166"/>
        <w:spacing w:line="240" w:lineRule="auto" w:before="60" w:after="60"/>
        <w:ind w:left="360" w:hanging="360"/>
        <w:rPr>
          <w:rFonts w:cs="Times New Roman"/>
          <w:sz w:val="22"/>
        </w:rPr>
      </w:pPr>
      <w:r>
        <w:rPr>
          <w:rFonts w:cs="Times New Roman" w:ascii="Times New Roman" w:hAnsi="Times New Roman" w:eastAsia="SimSun"/>
          <w:sz w:val="20"/>
        </w:rPr>
        <w:t>Table S36. Selection stability, candidate frequencies, equal-budget stability and equal-budget diversity.</w:t>
      </w:r>
    </w:p>
    <w:p>
      <w:pPr>
        <w:pStyle w:val="3"/>
        <w:spacing w:before="0" w:after="0" w:line="480" w:lineRule="auto"/>
        <w:rPr>
          <w:rFonts w:ascii="Times New Roman" w:hAnsi="Times New Roman" w:eastAsia="Times New Roman" w:cs="Times New Roman"/>
          <w:sz w:val="26"/>
        </w:rPr>
      </w:pPr>
      <w:r>
        <w:rPr>
          <w:rFonts w:ascii="Times New Roman" w:hAnsi="Times New Roman" w:eastAsia="SimSun" w:cs="Times New Roman"/>
          <w:sz w:val="24"/>
        </w:rPr>
        <w:t>Supplementary figure directory</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 Cleaning flow.</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S2. Candidate correlation matrices.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S3. Eigenvalue spectra.</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S4. Raw ranking metrics.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S5. Permutation controls.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S6. Signal recovery.</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S7. Full winner-optimism simulation.</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S8. Fold-level audit gaps.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S9. Full matched-K subset distributions.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S10. Representation selection frequency.</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S11. TDC.</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S12. Conformal and risk-coverage.</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S13. MoleculeACE.</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S14. bRo5.</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S15. Failure cases.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S16. All endpoint–pool–K composition effects.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S17. Modern-component ablations.</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S18. Anchor and normalization sensitivity.</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S19. Composition-by-split-regime transport.</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S20. Candidate selection frequency and normalized entropy.</w:t>
      </w:r>
    </w:p>
    <w:p>
      <w:pPr>
        <w:spacing w:after="60" w:line="240" w:lineRule="auto" w:before="60"/>
        <w:ind w:left="360" w:hanging="360"/>
        <w:jc w:val="left"/>
        <w:rPr>
          <w:rFonts w:eastAsia="Times New Roman" w:cs="Times New Roman"/>
          <w:sz w:val="22"/>
        </w:rPr>
      </w:pPr>
      <w:r>
        <w:rPr>
          <w:rFonts w:ascii="Times New Roman" w:hAnsi="Times New Roman" w:eastAsia="SimSun"/>
          <w:sz w:val="20"/>
        </w:rPr>
        <w:t>Figure S21. Equal-K and equal-downstream-budget comparison.</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S22. Practical equivalence and metric-dependent selection.</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S23. Empirical correlated heteroskedastic recovery.</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S24. Metric-dependent classification selection (PR-AUC only); recall-constrained effects are excluded.</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S25. Constructed candidate-dependence controls.</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S26. Availability and within-prefix components of the K = 32 minus K = 4 completion-gap contrast.</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S27. Tanimoto-component threshold sensitivity at 0.60, 0.70, and 0.80.</w:t>
      </w:r>
    </w:p>
    <w:p>
      <w:pPr>
        <w:spacing w:after="60" w:line="240" w:lineRule="auto" w:before="60"/>
        <w:ind w:left="360" w:hanging="360"/>
        <w:jc w:val="left"/>
        <w:rPr>
          <w:rFonts w:eastAsia="Times New Roman" w:cs="Times New Roman"/>
          <w:sz w:val="22"/>
        </w:rPr>
      </w:pPr>
      <w:r>
        <w:rPr>
          <w:rFonts w:ascii="Times New Roman" w:hAnsi="Times New Roman" w:eastAsia="SimSun"/>
          <w:sz w:val="24"/>
        </w:rPr>
        <w:t>Figure S28. Independent model-seed utility dispersion and selected-candidate identity.</w:t>
      </w:r>
    </w:p>
    <w:p>
      <w:pPr>
        <w:spacing w:after="60" w:line="240" w:lineRule="auto" w:before="60"/>
        <w:ind w:left="360" w:hanging="360"/>
        <w:jc w:val="left"/>
        <w:rPr>
          <w:rFonts w:eastAsia="Times New Roman" w:cs="Times New Roman"/>
          <w:sz w:val="22"/>
        </w:rPr>
      </w:pPr>
      <w:r>
        <w:rPr>
          <w:rFonts w:ascii="Times New Roman" w:hAnsi="Times New Roman" w:eastAsia="Times New Roman"/>
        </w:rPr>
        <w:t>Figure S29. Forward-temporal contextual stress test on CycPeptMPDB/CycPeptMP.</w:t>
      </w:r>
    </w:p>
    <w:p>
      <w:pPr>
        <w:spacing w:line="480" w:lineRule="auto" w:before="0" w:after="0"/>
      </w:pPr>
      <w:r>
        <w:rPr>
          <w:rFonts w:ascii="Times New Roman" w:hAnsi="Times New Roman" w:eastAsia="SimSun"/>
          <w:sz w:val="24"/>
        </w:rPr>
        <w:t>Equation-to-code mapping and version provenance. Main-text equations define the synchronized candidate-pool, ranking, diversity, composition, practical-equivalence, and selection-stability quantities. Additional file 4 supplies the executable mapping. The public base release remains paper-release-2026-08-r12.9 at immutable commit 0640c159fbb741fda0b8dcb5bd7121fd5d92153b; the attached submission archive is paper-release-2026-08-r12.9 with SHA-256 10B4385D65337D0919AA5B11344519441CF77DC1C9BB4F56051DADF826501A71. The public R12.6 tag was not overwritten or moved.</w:t>
      </w:r>
    </w:p>
    <w:p>
      <w:pPr>
        <w:pStyle w:val="3"/>
        <w:spacing w:line="480" w:lineRule="auto" w:before="0" w:after="0"/>
      </w:pPr>
      <w:r>
        <w:rPr>
          <w:rFonts w:ascii="Times New Roman" w:hAnsi="Times New Roman" w:eastAsia="SimSun"/>
          <w:sz w:val="24"/>
        </w:rPr>
        <w:t>S22. Completion experiments for finite-validation realisation</w:t>
      </w:r>
    </w:p>
    <w:p>
      <w:pPr>
        <w:spacing w:line="480" w:lineRule="auto" w:before="0" w:after="0"/>
      </w:pPr>
      <w:r>
        <w:rPr>
          <w:rFonts w:ascii="Times New Roman" w:hAnsi="Times New Roman" w:eastAsia="SimSun"/>
          <w:sz w:val="24"/>
        </w:rPr>
        <w:t>These analyses complete the current primary lightweight-registry matrix. They were retrospectively specified and subsequently locked, not prospectively registered confirmation, and use the same public endpoint populations and split generator. The full split seed set was 11, 23, 37, 53, 71, 83, 97, 113, 127 and 149; the primary outer and inner matrices therefore contain 30 × K and 90 × K rows, respectively.</w:t>
      </w:r>
    </w:p>
    <w:p>
      <w:pPr>
        <w:pStyle w:val="4"/>
        <w:spacing w:line="480" w:lineRule="auto" w:before="0" w:after="0"/>
      </w:pPr>
      <w:r>
        <w:rPr>
          <w:rFonts w:ascii="Times New Roman" w:hAnsi="Times New Roman" w:eastAsia="SimSun"/>
          <w:sz w:val="24"/>
        </w:rPr>
        <w:t>S22.1 K-invariant reference and practical equivalence</w:t>
      </w:r>
    </w:p>
    <w:p>
      <w:pPr>
        <w:spacing w:line="480" w:lineRule="auto" w:before="0" w:after="0"/>
      </w:pPr>
      <w:r>
        <w:rPr>
          <w:rFonts w:ascii="Times New Roman" w:hAnsi="Times New Roman" w:eastAsia="SimSun"/>
          <w:sz w:val="24"/>
        </w:rPr>
        <w:t>For each held-out split seed s, the full-registry reference was selected once from all 32 candidates using the other nine split seeds, and the K-dependent reference was selected analogously within the eligible prefix. For u = (s,f), G_inv is the full-registry completion gap, G_dep is the within-prefix gap to the K-dependent reference, and G_avail is the difference between those reference utilities. Thus G_inv = G_avail + G_dep exactly. Endpoint-level Delta_inv, Delta_avail and Delta_dep are ten-split seed means of K = 32 minus K = 4 paired contrasts. Their machine-readable decomposition and intervals are supplied with Figure S26 and Table S49.</w:t>
      </w:r>
    </w:p>
    <w:p>
      <w:pPr>
        <w:pStyle w:val="166"/>
        <w:spacing w:line="240" w:lineRule="auto" w:before="60" w:after="60"/>
      </w:pPr>
      <w:r>
        <w:rPr>
          <w:rFonts w:ascii="Times New Roman" w:hAnsi="Times New Roman" w:eastAsia="SimSun"/>
          <w:sz w:val="20"/>
        </w:rPr>
        <w:t>Table S37. K-invariant K = 32 minus K = 4 effects</w:t>
      </w:r>
    </w:p>
    <w:tbl>
      <w:tblPr>
        <w:tblStyle w:val="33"/>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872" w:type="dxa"/>
            <w:tcBorders>
              <w:bottom w:val="single" w:color="000000" w:sz="6" w:space="0"/>
            </w:tcBorders>
          </w:tcPr>
          <w:p>
            <w:pPr>
              <w:pStyle w:val="167"/>
              <w:spacing w:line="240" w:lineRule="auto" w:before="0" w:after="0"/>
            </w:pPr>
            <w:r>
              <w:rPr>
                <w:rFonts w:ascii="Times New Roman" w:hAnsi="Times New Roman" w:eastAsia="宋体"/>
              </w:rPr>
              <w:t>Endpoint</w:t>
            </w:r>
          </w:p>
        </w:tc>
        <w:tc>
          <w:tcPr>
            <w:tcW w:w="1872" w:type="dxa"/>
            <w:tcBorders>
              <w:bottom w:val="single" w:color="000000" w:sz="6" w:space="0"/>
            </w:tcBorders>
          </w:tcPr>
          <w:p>
            <w:pPr>
              <w:pStyle w:val="167"/>
              <w:spacing w:line="240" w:lineRule="auto" w:before="0" w:after="0"/>
            </w:pPr>
            <w:r>
              <w:rPr>
                <w:rFonts w:ascii="Times New Roman" w:hAnsi="Times New Roman" w:eastAsia="宋体"/>
              </w:rPr>
              <w:t>Type</w:t>
            </w:r>
          </w:p>
        </w:tc>
        <w:tc>
          <w:tcPr>
            <w:tcW w:w="1872" w:type="dxa"/>
            <w:tcBorders>
              <w:bottom w:val="single" w:color="000000" w:sz="6" w:space="0"/>
            </w:tcBorders>
          </w:tcPr>
          <w:p>
            <w:pPr>
              <w:pStyle w:val="167"/>
              <w:spacing w:line="240" w:lineRule="auto" w:before="0" w:after="0"/>
            </w:pPr>
            <w:r>
              <w:rPr>
                <w:rFonts w:ascii="Times New Roman" w:hAnsi="Times New Roman" w:eastAsia="宋体"/>
              </w:rPr>
              <w:t>Mean contrast</w:t>
            </w:r>
          </w:p>
        </w:tc>
        <w:tc>
          <w:tcPr>
            <w:tcW w:w="1872" w:type="dxa"/>
            <w:tcBorders>
              <w:bottom w:val="single" w:color="000000" w:sz="6" w:space="0"/>
            </w:tcBorders>
          </w:tcPr>
          <w:p>
            <w:pPr>
              <w:pStyle w:val="167"/>
              <w:spacing w:line="240" w:lineRule="auto" w:before="0" w:after="0"/>
            </w:pPr>
            <w:r>
              <w:rPr>
                <w:rFonts w:ascii="Times New Roman" w:hAnsi="Times New Roman" w:eastAsia="宋体"/>
              </w:rPr>
              <w:t>95% low</w:t>
            </w:r>
          </w:p>
        </w:tc>
        <w:tc>
          <w:tcPr>
            <w:tcW w:w="1872" w:type="dxa"/>
            <w:tcBorders>
              <w:bottom w:val="single" w:color="000000" w:sz="6" w:space="0"/>
            </w:tcBorders>
          </w:tcPr>
          <w:p>
            <w:pPr>
              <w:pStyle w:val="167"/>
              <w:spacing w:line="240" w:lineRule="auto" w:before="0" w:after="0"/>
            </w:pPr>
            <w:r>
              <w:rPr>
                <w:rFonts w:ascii="Times New Roman" w:hAnsi="Times New Roman" w:eastAsia="宋体"/>
              </w:rPr>
              <w:t>95% high</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bace</w:t>
            </w:r>
          </w:p>
        </w:tc>
        <w:tc>
          <w:tcPr>
            <w:tcW w:w="1872" w:type="dxa"/>
          </w:tcPr>
          <w:p>
            <w:pPr>
              <w:pStyle w:val="167"/>
              <w:spacing w:line="240" w:lineRule="auto" w:before="0" w:after="0"/>
            </w:pPr>
            <w:r>
              <w:rPr>
                <w:rFonts w:ascii="Times New Roman" w:hAnsi="Times New Roman" w:eastAsia="宋体"/>
              </w:rPr>
              <w:t>classification</w:t>
            </w:r>
          </w:p>
        </w:tc>
        <w:tc>
          <w:tcPr>
            <w:tcW w:w="1872" w:type="dxa"/>
          </w:tcPr>
          <w:p>
            <w:pPr>
              <w:pStyle w:val="167"/>
              <w:spacing w:line="240" w:lineRule="auto" w:before="0" w:after="0"/>
            </w:pPr>
            <w:r>
              <w:rPr>
                <w:rFonts w:ascii="Times New Roman" w:hAnsi="Times New Roman" w:eastAsia="宋体"/>
              </w:rPr>
              <w:t>-0.0195</w:t>
            </w:r>
          </w:p>
        </w:tc>
        <w:tc>
          <w:tcPr>
            <w:tcW w:w="1872" w:type="dxa"/>
          </w:tcPr>
          <w:p>
            <w:pPr>
              <w:pStyle w:val="167"/>
              <w:spacing w:line="240" w:lineRule="auto" w:before="0" w:after="0"/>
            </w:pPr>
            <w:r>
              <w:rPr>
                <w:rFonts w:ascii="Times New Roman" w:hAnsi="Times New Roman" w:eastAsia="宋体"/>
              </w:rPr>
              <w:t>-0.0238</w:t>
            </w:r>
          </w:p>
        </w:tc>
        <w:tc>
          <w:tcPr>
            <w:tcW w:w="1872" w:type="dxa"/>
          </w:tcPr>
          <w:p>
            <w:pPr>
              <w:pStyle w:val="167"/>
              <w:spacing w:line="240" w:lineRule="auto" w:before="0" w:after="0"/>
            </w:pPr>
            <w:r>
              <w:rPr>
                <w:rFonts w:ascii="Times New Roman" w:hAnsi="Times New Roman" w:eastAsia="宋体"/>
              </w:rPr>
              <w:t>-0.0152</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bbbp</w:t>
            </w:r>
          </w:p>
        </w:tc>
        <w:tc>
          <w:tcPr>
            <w:tcW w:w="1872" w:type="dxa"/>
          </w:tcPr>
          <w:p>
            <w:pPr>
              <w:pStyle w:val="167"/>
              <w:spacing w:line="240" w:lineRule="auto" w:before="0" w:after="0"/>
            </w:pPr>
            <w:r>
              <w:rPr>
                <w:rFonts w:ascii="Times New Roman" w:hAnsi="Times New Roman" w:eastAsia="宋体"/>
              </w:rPr>
              <w:t>classification</w:t>
            </w:r>
          </w:p>
        </w:tc>
        <w:tc>
          <w:tcPr>
            <w:tcW w:w="1872" w:type="dxa"/>
          </w:tcPr>
          <w:p>
            <w:pPr>
              <w:pStyle w:val="167"/>
              <w:spacing w:line="240" w:lineRule="auto" w:before="0" w:after="0"/>
            </w:pPr>
            <w:r>
              <w:rPr>
                <w:rFonts w:ascii="Times New Roman" w:hAnsi="Times New Roman" w:eastAsia="宋体"/>
              </w:rPr>
              <w:t>-0.0263</w:t>
            </w:r>
          </w:p>
        </w:tc>
        <w:tc>
          <w:tcPr>
            <w:tcW w:w="1872" w:type="dxa"/>
          </w:tcPr>
          <w:p>
            <w:pPr>
              <w:pStyle w:val="167"/>
              <w:spacing w:line="240" w:lineRule="auto" w:before="0" w:after="0"/>
            </w:pPr>
            <w:r>
              <w:rPr>
                <w:rFonts w:ascii="Times New Roman" w:hAnsi="Times New Roman" w:eastAsia="宋体"/>
              </w:rPr>
              <w:t>-0.0301</w:t>
            </w:r>
          </w:p>
        </w:tc>
        <w:tc>
          <w:tcPr>
            <w:tcW w:w="1872" w:type="dxa"/>
          </w:tcPr>
          <w:p>
            <w:pPr>
              <w:pStyle w:val="167"/>
              <w:spacing w:line="240" w:lineRule="auto" w:before="0" w:after="0"/>
            </w:pPr>
            <w:r>
              <w:rPr>
                <w:rFonts w:ascii="Times New Roman" w:hAnsi="Times New Roman" w:eastAsia="宋体"/>
              </w:rPr>
              <w:t>-0.0225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clintox</w:t>
            </w:r>
          </w:p>
        </w:tc>
        <w:tc>
          <w:tcPr>
            <w:tcW w:w="1872" w:type="dxa"/>
          </w:tcPr>
          <w:p>
            <w:pPr>
              <w:pStyle w:val="167"/>
              <w:spacing w:line="240" w:lineRule="auto" w:before="0" w:after="0"/>
            </w:pPr>
            <w:r>
              <w:rPr>
                <w:rFonts w:ascii="Times New Roman" w:hAnsi="Times New Roman" w:eastAsia="宋体"/>
              </w:rPr>
              <w:t>classification</w:t>
            </w:r>
          </w:p>
        </w:tc>
        <w:tc>
          <w:tcPr>
            <w:tcW w:w="1872" w:type="dxa"/>
          </w:tcPr>
          <w:p>
            <w:pPr>
              <w:pStyle w:val="167"/>
              <w:spacing w:line="240" w:lineRule="auto" w:before="0" w:after="0"/>
            </w:pPr>
            <w:r>
              <w:rPr>
                <w:rFonts w:ascii="Times New Roman" w:hAnsi="Times New Roman" w:eastAsia="宋体"/>
              </w:rPr>
              <w:t>-0.0144</w:t>
            </w:r>
          </w:p>
        </w:tc>
        <w:tc>
          <w:tcPr>
            <w:tcW w:w="1872" w:type="dxa"/>
          </w:tcPr>
          <w:p>
            <w:pPr>
              <w:pStyle w:val="167"/>
              <w:spacing w:line="240" w:lineRule="auto" w:before="0" w:after="0"/>
            </w:pPr>
            <w:r>
              <w:rPr>
                <w:rFonts w:ascii="Times New Roman" w:hAnsi="Times New Roman" w:eastAsia="宋体"/>
              </w:rPr>
              <w:t>-0.0241</w:t>
            </w:r>
          </w:p>
        </w:tc>
        <w:tc>
          <w:tcPr>
            <w:tcW w:w="1872" w:type="dxa"/>
          </w:tcPr>
          <w:p>
            <w:pPr>
              <w:pStyle w:val="167"/>
              <w:spacing w:line="240" w:lineRule="auto" w:before="0" w:after="0"/>
            </w:pPr>
            <w:r>
              <w:rPr>
                <w:rFonts w:ascii="Times New Roman" w:hAnsi="Times New Roman" w:eastAsia="宋体"/>
              </w:rPr>
              <w:t>-0.0031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esol</w:t>
            </w:r>
          </w:p>
        </w:tc>
        <w:tc>
          <w:tcPr>
            <w:tcW w:w="1872" w:type="dxa"/>
          </w:tcPr>
          <w:p>
            <w:pPr>
              <w:pStyle w:val="167"/>
              <w:spacing w:line="240" w:lineRule="auto" w:before="0" w:after="0"/>
            </w:pPr>
            <w:r>
              <w:rPr>
                <w:rFonts w:ascii="Times New Roman" w:hAnsi="Times New Roman" w:eastAsia="宋体"/>
              </w:rPr>
              <w:t>regression</w:t>
            </w:r>
          </w:p>
        </w:tc>
        <w:tc>
          <w:tcPr>
            <w:tcW w:w="1872" w:type="dxa"/>
          </w:tcPr>
          <w:p>
            <w:pPr>
              <w:pStyle w:val="167"/>
              <w:spacing w:line="240" w:lineRule="auto" w:before="0" w:after="0"/>
            </w:pPr>
            <w:r>
              <w:rPr>
                <w:rFonts w:ascii="Times New Roman" w:hAnsi="Times New Roman" w:eastAsia="宋体"/>
              </w:rPr>
              <w:t>0.0683</w:t>
            </w:r>
          </w:p>
        </w:tc>
        <w:tc>
          <w:tcPr>
            <w:tcW w:w="1872" w:type="dxa"/>
          </w:tcPr>
          <w:p>
            <w:pPr>
              <w:pStyle w:val="167"/>
              <w:spacing w:line="240" w:lineRule="auto" w:before="0" w:after="0"/>
            </w:pPr>
            <w:r>
              <w:rPr>
                <w:rFonts w:ascii="Times New Roman" w:hAnsi="Times New Roman" w:eastAsia="宋体"/>
              </w:rPr>
              <w:t>0.0618</w:t>
            </w:r>
          </w:p>
        </w:tc>
        <w:tc>
          <w:tcPr>
            <w:tcW w:w="1872" w:type="dxa"/>
          </w:tcPr>
          <w:p>
            <w:pPr>
              <w:pStyle w:val="167"/>
              <w:spacing w:line="240" w:lineRule="auto" w:before="0" w:after="0"/>
            </w:pPr>
            <w:r>
              <w:rPr>
                <w:rFonts w:ascii="Times New Roman" w:hAnsi="Times New Roman" w:eastAsia="宋体"/>
              </w:rPr>
              <w:t>0.0757</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freesolv</w:t>
            </w:r>
          </w:p>
        </w:tc>
        <w:tc>
          <w:tcPr>
            <w:tcW w:w="1872" w:type="dxa"/>
          </w:tcPr>
          <w:p>
            <w:pPr>
              <w:pStyle w:val="167"/>
              <w:spacing w:line="240" w:lineRule="auto" w:before="0" w:after="0"/>
            </w:pPr>
            <w:r>
              <w:rPr>
                <w:rFonts w:ascii="Times New Roman" w:hAnsi="Times New Roman" w:eastAsia="宋体"/>
              </w:rPr>
              <w:t>regression</w:t>
            </w:r>
          </w:p>
        </w:tc>
        <w:tc>
          <w:tcPr>
            <w:tcW w:w="1872" w:type="dxa"/>
          </w:tcPr>
          <w:p>
            <w:pPr>
              <w:pStyle w:val="167"/>
              <w:spacing w:line="240" w:lineRule="auto" w:before="0" w:after="0"/>
            </w:pPr>
            <w:r>
              <w:rPr>
                <w:rFonts w:ascii="Times New Roman" w:hAnsi="Times New Roman" w:eastAsia="宋体"/>
              </w:rPr>
              <w:t>-0.0586</w:t>
            </w:r>
          </w:p>
        </w:tc>
        <w:tc>
          <w:tcPr>
            <w:tcW w:w="1872" w:type="dxa"/>
          </w:tcPr>
          <w:p>
            <w:pPr>
              <w:pStyle w:val="167"/>
              <w:spacing w:line="240" w:lineRule="auto" w:before="0" w:after="0"/>
            </w:pPr>
            <w:r>
              <w:rPr>
                <w:rFonts w:ascii="Times New Roman" w:hAnsi="Times New Roman" w:eastAsia="宋体"/>
              </w:rPr>
              <w:t>-0.0912</w:t>
            </w:r>
          </w:p>
        </w:tc>
        <w:tc>
          <w:tcPr>
            <w:tcW w:w="1872" w:type="dxa"/>
          </w:tcPr>
          <w:p>
            <w:pPr>
              <w:pStyle w:val="167"/>
              <w:spacing w:line="240" w:lineRule="auto" w:before="0" w:after="0"/>
            </w:pPr>
            <w:r>
              <w:rPr>
                <w:rFonts w:ascii="Times New Roman" w:hAnsi="Times New Roman" w:eastAsia="宋体"/>
              </w:rPr>
              <w:t>-0.0263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lipo</w:t>
            </w:r>
          </w:p>
        </w:tc>
        <w:tc>
          <w:tcPr>
            <w:tcW w:w="1872" w:type="dxa"/>
          </w:tcPr>
          <w:p>
            <w:pPr>
              <w:pStyle w:val="167"/>
              <w:spacing w:line="240" w:lineRule="auto" w:before="0" w:after="0"/>
            </w:pPr>
            <w:r>
              <w:rPr>
                <w:rFonts w:ascii="Times New Roman" w:hAnsi="Times New Roman" w:eastAsia="宋体"/>
              </w:rPr>
              <w:t>regression</w:t>
            </w:r>
          </w:p>
        </w:tc>
        <w:tc>
          <w:tcPr>
            <w:tcW w:w="1872" w:type="dxa"/>
          </w:tcPr>
          <w:p>
            <w:pPr>
              <w:pStyle w:val="167"/>
              <w:spacing w:line="240" w:lineRule="auto" w:before="0" w:after="0"/>
            </w:pPr>
            <w:r>
              <w:rPr>
                <w:rFonts w:ascii="Times New Roman" w:hAnsi="Times New Roman" w:eastAsia="宋体"/>
              </w:rPr>
              <w:t>-0.0947</w:t>
            </w:r>
          </w:p>
        </w:tc>
        <w:tc>
          <w:tcPr>
            <w:tcW w:w="1872" w:type="dxa"/>
          </w:tcPr>
          <w:p>
            <w:pPr>
              <w:pStyle w:val="167"/>
              <w:spacing w:line="240" w:lineRule="auto" w:before="0" w:after="0"/>
            </w:pPr>
            <w:r>
              <w:rPr>
                <w:rFonts w:ascii="Times New Roman" w:hAnsi="Times New Roman" w:eastAsia="宋体"/>
              </w:rPr>
              <w:t>-0.0992</w:t>
            </w:r>
          </w:p>
        </w:tc>
        <w:tc>
          <w:tcPr>
            <w:tcW w:w="1872" w:type="dxa"/>
          </w:tcPr>
          <w:p>
            <w:pPr>
              <w:pStyle w:val="167"/>
              <w:spacing w:line="240" w:lineRule="auto" w:before="0" w:after="0"/>
            </w:pPr>
            <w:r>
              <w:rPr>
                <w:rFonts w:ascii="Times New Roman" w:hAnsi="Times New Roman" w:eastAsia="宋体"/>
              </w:rPr>
              <w:t>-0.0899</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tdc_caco2_wang</w:t>
            </w:r>
          </w:p>
        </w:tc>
        <w:tc>
          <w:tcPr>
            <w:tcW w:w="1872" w:type="dxa"/>
          </w:tcPr>
          <w:p>
            <w:pPr>
              <w:pStyle w:val="167"/>
              <w:spacing w:line="240" w:lineRule="auto" w:before="0" w:after="0"/>
            </w:pPr>
            <w:r>
              <w:rPr>
                <w:rFonts w:ascii="Times New Roman" w:hAnsi="Times New Roman" w:eastAsia="宋体"/>
              </w:rPr>
              <w:t>regression</w:t>
            </w:r>
          </w:p>
        </w:tc>
        <w:tc>
          <w:tcPr>
            <w:tcW w:w="1872" w:type="dxa"/>
          </w:tcPr>
          <w:p>
            <w:pPr>
              <w:pStyle w:val="167"/>
              <w:spacing w:line="240" w:lineRule="auto" w:before="0" w:after="0"/>
            </w:pPr>
            <w:r>
              <w:rPr>
                <w:rFonts w:ascii="Times New Roman" w:hAnsi="Times New Roman" w:eastAsia="宋体"/>
              </w:rPr>
              <w:t>-0.0049</w:t>
            </w:r>
          </w:p>
        </w:tc>
        <w:tc>
          <w:tcPr>
            <w:tcW w:w="1872" w:type="dxa"/>
          </w:tcPr>
          <w:p>
            <w:pPr>
              <w:pStyle w:val="167"/>
              <w:spacing w:line="240" w:lineRule="auto" w:before="0" w:after="0"/>
            </w:pPr>
            <w:r>
              <w:rPr>
                <w:rFonts w:ascii="Times New Roman" w:hAnsi="Times New Roman" w:eastAsia="宋体"/>
              </w:rPr>
              <w:t>-0.0121</w:t>
            </w:r>
          </w:p>
        </w:tc>
        <w:tc>
          <w:tcPr>
            <w:tcW w:w="1872" w:type="dxa"/>
          </w:tcPr>
          <w:p>
            <w:pPr>
              <w:pStyle w:val="167"/>
              <w:spacing w:line="240" w:lineRule="auto" w:before="0" w:after="0"/>
            </w:pPr>
            <w:r>
              <w:rPr>
                <w:rFonts w:ascii="Times New Roman" w:hAnsi="Times New Roman" w:eastAsia="宋体"/>
              </w:rPr>
              <w:t>0.0008</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tdc_hia_hou</w:t>
            </w:r>
          </w:p>
        </w:tc>
        <w:tc>
          <w:tcPr>
            <w:tcW w:w="1872" w:type="dxa"/>
          </w:tcPr>
          <w:p>
            <w:pPr>
              <w:pStyle w:val="167"/>
              <w:spacing w:line="240" w:lineRule="auto" w:before="0" w:after="0"/>
            </w:pPr>
            <w:r>
              <w:rPr>
                <w:rFonts w:ascii="Times New Roman" w:hAnsi="Times New Roman" w:eastAsia="宋体"/>
              </w:rPr>
              <w:t>classification</w:t>
            </w:r>
          </w:p>
        </w:tc>
        <w:tc>
          <w:tcPr>
            <w:tcW w:w="1872" w:type="dxa"/>
          </w:tcPr>
          <w:p>
            <w:pPr>
              <w:pStyle w:val="167"/>
              <w:spacing w:line="240" w:lineRule="auto" w:before="0" w:after="0"/>
            </w:pPr>
            <w:r>
              <w:rPr>
                <w:rFonts w:ascii="Times New Roman" w:hAnsi="Times New Roman" w:eastAsia="宋体"/>
              </w:rPr>
              <w:t>-0.0022</w:t>
            </w:r>
          </w:p>
        </w:tc>
        <w:tc>
          <w:tcPr>
            <w:tcW w:w="1872" w:type="dxa"/>
          </w:tcPr>
          <w:p>
            <w:pPr>
              <w:pStyle w:val="167"/>
              <w:spacing w:line="240" w:lineRule="auto" w:before="0" w:after="0"/>
            </w:pPr>
            <w:r>
              <w:rPr>
                <w:rFonts w:ascii="Times New Roman" w:hAnsi="Times New Roman" w:eastAsia="宋体"/>
              </w:rPr>
              <w:t>-0.0075</w:t>
            </w:r>
          </w:p>
        </w:tc>
        <w:tc>
          <w:tcPr>
            <w:tcW w:w="1872" w:type="dxa"/>
          </w:tcPr>
          <w:p>
            <w:pPr>
              <w:pStyle w:val="167"/>
              <w:spacing w:line="240" w:lineRule="auto" w:before="0" w:after="0"/>
            </w:pPr>
            <w:r>
              <w:rPr>
                <w:rFonts w:ascii="Times New Roman" w:hAnsi="Times New Roman" w:eastAsia="宋体"/>
              </w:rPr>
              <w:t>0.0031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872" w:type="dxa"/>
          </w:tcPr>
          <w:p>
            <w:pPr>
              <w:pStyle w:val="167"/>
              <w:spacing w:line="240" w:lineRule="auto" w:before="0" w:after="0"/>
            </w:pPr>
            <w:r>
              <w:rPr>
                <w:rFonts w:ascii="Times New Roman" w:hAnsi="Times New Roman" w:eastAsia="宋体"/>
              </w:rPr>
              <w:t>tdc_pgp_broccatelli</w:t>
            </w:r>
          </w:p>
        </w:tc>
        <w:tc>
          <w:tcPr>
            <w:tcW w:w="1872" w:type="dxa"/>
          </w:tcPr>
          <w:p>
            <w:pPr>
              <w:pStyle w:val="167"/>
              <w:spacing w:line="240" w:lineRule="auto" w:before="0" w:after="0"/>
            </w:pPr>
            <w:r>
              <w:rPr>
                <w:rFonts w:ascii="Times New Roman" w:hAnsi="Times New Roman" w:eastAsia="宋体"/>
              </w:rPr>
              <w:t>classification</w:t>
            </w:r>
          </w:p>
        </w:tc>
        <w:tc>
          <w:tcPr>
            <w:tcW w:w="1872" w:type="dxa"/>
          </w:tcPr>
          <w:p>
            <w:pPr>
              <w:pStyle w:val="167"/>
              <w:spacing w:line="240" w:lineRule="auto" w:before="0" w:after="0"/>
            </w:pPr>
            <w:r>
              <w:rPr>
                <w:rFonts w:ascii="Times New Roman" w:hAnsi="Times New Roman" w:eastAsia="宋体"/>
              </w:rPr>
              <w:t>-0.0222</w:t>
            </w:r>
          </w:p>
        </w:tc>
        <w:tc>
          <w:tcPr>
            <w:tcW w:w="1872" w:type="dxa"/>
          </w:tcPr>
          <w:p>
            <w:pPr>
              <w:pStyle w:val="167"/>
              <w:spacing w:line="240" w:lineRule="auto" w:before="0" w:after="0"/>
            </w:pPr>
            <w:r>
              <w:rPr>
                <w:rFonts w:ascii="Times New Roman" w:hAnsi="Times New Roman" w:eastAsia="宋体"/>
              </w:rPr>
              <w:t>-0.0271</w:t>
            </w:r>
          </w:p>
        </w:tc>
        <w:tc>
          <w:tcPr>
            <w:tcW w:w="1872" w:type="dxa"/>
          </w:tcPr>
          <w:p>
            <w:pPr>
              <w:pStyle w:val="167"/>
              <w:spacing w:line="240" w:lineRule="auto" w:before="0" w:after="0"/>
            </w:pPr>
            <w:r>
              <w:rPr>
                <w:rFonts w:ascii="Times New Roman" w:hAnsi="Times New Roman" w:eastAsia="宋体"/>
              </w:rPr>
              <w:t>-0.0178</w:t>
            </w:r>
          </w:p>
        </w:tc>
      </w:tr>
    </w:tbl>
    <w:p>
      <w:pPr>
        <w:pStyle w:val="4"/>
        <w:spacing w:line="480" w:lineRule="auto" w:before="0" w:after="0"/>
      </w:pPr>
      <w:r>
        <w:rPr>
          <w:rFonts w:ascii="Times New Roman" w:hAnsi="Times New Roman" w:eastAsia="SimSun"/>
          <w:sz w:val="24"/>
        </w:rPr>
        <w:t>S22.2 Metric-matched classification selection</w:t>
      </w:r>
    </w:p>
    <w:p>
      <w:pPr>
        <w:spacing w:line="480" w:lineRule="auto" w:before="0" w:after="0"/>
      </w:pPr>
      <w:r>
        <w:rPr>
          <w:rFonts w:ascii="Times New Roman" w:hAnsi="Times New Roman" w:eastAsia="SimSun"/>
          <w:sz w:val="24"/>
        </w:rPr>
        <w:t>The archived implementation defined frequency-minority identity separately within each inner-training fold. The audit found identity switches in 19 of 150 classification outer units. The correct rule fixes the target class once from the complete outer-training partition before inner cross-validation and carries it through all three inner folds and the outer evaluation. Although all outer probability archives were available, inner-validation probabilities were not retained; the recall-constrained selector could therefore not be reconstructed without refitting base models. Its candidate-switch and outer-performance effects are not reported. Table S39 retains only ROC-AUC and PR-AUC unit-level selections, and Table S40 reports only their comparison.</w:t>
      </w:r>
    </w:p>
    <w:p>
      <w:pPr>
        <w:pStyle w:val="166"/>
        <w:spacing w:line="240" w:lineRule="auto" w:before="60" w:after="60"/>
      </w:pPr>
      <w:r>
        <w:rPr>
          <w:rFonts w:ascii="Times New Roman" w:hAnsi="Times New Roman" w:eastAsia="SimSun"/>
          <w:sz w:val="20"/>
        </w:rPr>
        <w:t>Table S40. K = 32 PR-AUC versus ROC-AUC selector comparison</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10" w:color="000000"/>
              <w:left w:val="nil" w:sz="0" w:color="000000"/>
              <w:bottom w:val="single" w:sz="8"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sz w:val="16"/>
              </w:rPr>
              <w:t>Selector</w:t>
            </w:r>
          </w:p>
        </w:tc>
        <w:tc>
          <w:tcPr>
            <w:tcW w:type="dxa" w:w="2340"/>
            <w:tcBorders>
              <w:top w:val="single" w:sz="10" w:color="000000"/>
              <w:left w:val="nil" w:sz="0" w:color="000000"/>
              <w:bottom w:val="single" w:sz="8"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sz w:val="16"/>
              </w:rPr>
              <w:t>Candidate-switch rate</w:t>
            </w:r>
          </w:p>
        </w:tc>
        <w:tc>
          <w:tcPr>
            <w:tcW w:type="dxa" w:w="2340"/>
            <w:tcBorders>
              <w:top w:val="single" w:sz="10" w:color="000000"/>
              <w:left w:val="nil" w:sz="0" w:color="000000"/>
              <w:bottom w:val="single" w:sz="8"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sz w:val="16"/>
              </w:rPr>
              <w:t>Delta outer ROC-AUC</w:t>
            </w:r>
          </w:p>
        </w:tc>
        <w:tc>
          <w:tcPr>
            <w:tcW w:type="dxa" w:w="2340"/>
            <w:tcBorders>
              <w:top w:val="single" w:sz="10" w:color="000000"/>
              <w:left w:val="nil" w:sz="0" w:color="000000"/>
              <w:bottom w:val="single" w:sz="8"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sz w:val="16"/>
              </w:rPr>
              <w:t>Delta outer PR-AUC</w:t>
            </w:r>
          </w:p>
        </w:tc>
      </w:tr>
      <w:tr>
        <w:tc>
          <w:tcPr>
            <w:tcW w:type="dxa" w:w="2340"/>
            <w:tcBorders>
              <w:top w:val="nil" w:sz="0" w:color="000000"/>
              <w:left w:val="nil" w:sz="0" w:color="000000"/>
              <w:bottom w:val="single" w:sz="10"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val="0"/>
                <w:sz w:val="16"/>
              </w:rPr>
              <w:t>PR-AUC</w:t>
            </w:r>
          </w:p>
        </w:tc>
        <w:tc>
          <w:tcPr>
            <w:tcW w:type="dxa" w:w="2340"/>
            <w:tcBorders>
              <w:top w:val="nil" w:sz="0" w:color="000000"/>
              <w:left w:val="nil" w:sz="0" w:color="000000"/>
              <w:bottom w:val="single" w:sz="10"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val="0"/>
                <w:sz w:val="16"/>
              </w:rPr>
              <w:t>0.5267</w:t>
            </w:r>
          </w:p>
        </w:tc>
        <w:tc>
          <w:tcPr>
            <w:tcW w:type="dxa" w:w="2340"/>
            <w:tcBorders>
              <w:top w:val="nil" w:sz="0" w:color="000000"/>
              <w:left w:val="nil" w:sz="0" w:color="000000"/>
              <w:bottom w:val="single" w:sz="10"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val="0"/>
                <w:sz w:val="16"/>
              </w:rPr>
              <w:t>−0.0026</w:t>
            </w:r>
          </w:p>
        </w:tc>
        <w:tc>
          <w:tcPr>
            <w:tcW w:type="dxa" w:w="2340"/>
            <w:tcBorders>
              <w:top w:val="nil" w:sz="0" w:color="000000"/>
              <w:left w:val="nil" w:sz="0" w:color="000000"/>
              <w:bottom w:val="single" w:sz="10" w:color="000000"/>
              <w:right w:val="nil" w:sz="0" w:color="000000"/>
              <w:insideH w:val="nil" w:sz="0" w:color="000000"/>
              <w:insideV w:val="nil" w:sz="0" w:color="000000"/>
            </w:tcBorders>
            <w:vAlign w:val="center"/>
          </w:tcPr>
          <w:p>
            <w:pPr>
              <w:spacing w:line="240" w:lineRule="auto" w:before="0" w:after="0"/>
              <w:jc w:val="center"/>
            </w:pPr>
            <w:r>
              <w:rPr>
                <w:rFonts w:ascii="Times New Roman" w:hAnsi="Times New Roman" w:eastAsia="宋体"/>
                <w:b w:val="0"/>
                <w:sz w:val="16"/>
              </w:rPr>
              <w:t>+0.0018</w:t>
            </w:r>
          </w:p>
        </w:tc>
      </w:tr>
    </w:tbl>
    <w:p>
      <w:pPr>
        <w:pStyle w:val="4"/>
        <w:spacing w:line="480" w:lineRule="auto" w:before="0" w:after="0"/>
      </w:pPr>
      <w:r>
        <w:rPr>
          <w:rFonts w:ascii="Times New Roman" w:hAnsi="Times New Roman" w:eastAsia="SimSun"/>
          <w:sz w:val="24"/>
        </w:rPr>
        <w:t>S22.3 Constructed candidate controls and order sensitivity</w:t>
      </w:r>
    </w:p>
    <w:p>
      <w:pPr>
        <w:spacing w:line="480" w:lineRule="auto" w:before="0" w:after="0"/>
      </w:pPr>
      <w:r>
        <w:rPr>
          <w:rFonts w:ascii="Times New Roman" w:hAnsi="Times New Roman" w:eastAsia="SimSun"/>
          <w:sz w:val="24"/>
        </w:rPr>
        <w:t>Exact duplicates and 95% anchor near-duplicates were constructed from stored score vectors. Weak and complementary-strong candidate orders were learned only from non-held split seeds. Best-first, worst-first, cost-first and 100 random permutations assess order sensitivity without additional fitting. The registered K = 32 minus K = 4 within-prefix direction matched the random-permutation median direction in seven of nine endpoints; FreeSolv and HIA reversed. Endpoint summaries and complete permutation-level units are archived with Table S43 and Additional file 4.</w:t>
      </w:r>
    </w:p>
    <w:p>
      <w:pPr>
        <w:pStyle w:val="166"/>
        <w:spacing w:line="240" w:lineRule="auto" w:before="60" w:after="60"/>
      </w:pPr>
      <w:r>
        <w:rPr>
          <w:rFonts w:ascii="Times New Roman" w:hAnsi="Times New Roman" w:eastAsia="SimSun"/>
          <w:sz w:val="20"/>
        </w:rPr>
        <w:t>Table S41. Constructed control summary</w:t>
      </w:r>
    </w:p>
    <w:tbl>
      <w:tblPr>
        <w:tblStyle w:val="33"/>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6"/>
        <w:gridCol w:w="1382"/>
        <w:gridCol w:w="1455"/>
        <w:gridCol w:w="1430"/>
        <w:gridCol w:w="1430"/>
        <w:gridCol w:w="1483"/>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560" w:type="dxa"/>
            <w:tcBorders>
              <w:bottom w:val="single" w:color="000000" w:sz="6" w:space="0"/>
            </w:tcBorders>
          </w:tcPr>
          <w:p>
            <w:pPr>
              <w:pStyle w:val="167"/>
              <w:spacing w:line="240" w:lineRule="auto" w:before="0" w:after="0"/>
            </w:pPr>
            <w:r>
              <w:rPr>
                <w:rFonts w:ascii="Times New Roman" w:hAnsi="Times New Roman" w:eastAsia="宋体"/>
              </w:rPr>
              <w:t>Control</w:t>
            </w:r>
          </w:p>
        </w:tc>
        <w:tc>
          <w:tcPr>
            <w:tcW w:w="1560" w:type="dxa"/>
            <w:tcBorders>
              <w:bottom w:val="single" w:color="000000" w:sz="6" w:space="0"/>
            </w:tcBorders>
          </w:tcPr>
          <w:p>
            <w:pPr>
              <w:pStyle w:val="167"/>
              <w:spacing w:line="240" w:lineRule="auto" w:before="0" w:after="0"/>
            </w:pPr>
            <w:r>
              <w:rPr>
                <w:rFonts w:ascii="Times New Roman" w:hAnsi="Times New Roman" w:eastAsia="宋体"/>
              </w:rPr>
              <w:t>K</w:t>
            </w:r>
          </w:p>
        </w:tc>
        <w:tc>
          <w:tcPr>
            <w:tcW w:w="1560" w:type="dxa"/>
            <w:tcBorders>
              <w:bottom w:val="single" w:color="000000" w:sz="6" w:space="0"/>
            </w:tcBorders>
          </w:tcPr>
          <w:p>
            <w:pPr>
              <w:pStyle w:val="167"/>
              <w:spacing w:line="240" w:lineRule="auto" w:before="0" w:after="0"/>
            </w:pPr>
            <w:r>
              <w:rPr>
                <w:rFonts w:ascii="Times New Roman" w:hAnsi="Times New Roman" w:eastAsia="宋体"/>
              </w:rPr>
              <w:t>Effective rank</w:t>
            </w:r>
          </w:p>
        </w:tc>
        <w:tc>
          <w:tcPr>
            <w:tcW w:w="1560" w:type="dxa"/>
            <w:tcBorders>
              <w:bottom w:val="single" w:color="000000" w:sz="6" w:space="0"/>
            </w:tcBorders>
          </w:tcPr>
          <w:p>
            <w:pPr>
              <w:pStyle w:val="167"/>
              <w:spacing w:line="240" w:lineRule="auto" w:before="0" w:after="0"/>
            </w:pPr>
            <w:r>
              <w:rPr>
                <w:rFonts w:ascii="Times New Roman" w:hAnsi="Times New Roman" w:eastAsia="宋体"/>
              </w:rPr>
              <w:t>Same-fold gap</w:t>
            </w:r>
          </w:p>
        </w:tc>
        <w:tc>
          <w:tcPr>
            <w:tcW w:w="1560" w:type="dxa"/>
            <w:tcBorders>
              <w:bottom w:val="single" w:color="000000" w:sz="6" w:space="0"/>
            </w:tcBorders>
          </w:tcPr>
          <w:p>
            <w:pPr>
              <w:pStyle w:val="167"/>
              <w:spacing w:line="240" w:lineRule="auto" w:before="0" w:after="0"/>
            </w:pPr>
            <w:r>
              <w:rPr>
                <w:rFonts w:ascii="Times New Roman" w:hAnsi="Times New Roman" w:eastAsia="宋体"/>
              </w:rPr>
              <w:t>Cross-fit gap</w:t>
            </w:r>
          </w:p>
        </w:tc>
        <w:tc>
          <w:tcPr>
            <w:tcW w:w="1560" w:type="dxa"/>
            <w:tcBorders>
              <w:bottom w:val="single" w:color="000000" w:sz="6" w:space="0"/>
            </w:tcBorders>
          </w:tcPr>
          <w:p>
            <w:pPr>
              <w:pStyle w:val="167"/>
              <w:spacing w:line="240" w:lineRule="auto" w:before="0" w:after="0"/>
            </w:pPr>
            <w:r>
              <w:rPr>
                <w:rFonts w:ascii="Times New Roman" w:hAnsi="Times New Roman" w:eastAsia="宋体"/>
              </w:rPr>
              <w:t>Available opportunity</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trPr>
        <w:tc>
          <w:tcPr>
            <w:tcW w:w="1560" w:type="dxa"/>
          </w:tcPr>
          <w:p>
            <w:pPr>
              <w:pStyle w:val="167"/>
              <w:spacing w:line="240" w:lineRule="auto" w:before="0" w:after="0"/>
            </w:pPr>
            <w:r>
              <w:rPr>
                <w:rFonts w:ascii="Times New Roman" w:hAnsi="Times New Roman" w:eastAsia="宋体"/>
              </w:rPr>
              <w:t>complementary_strong_added</w:t>
            </w:r>
          </w:p>
        </w:tc>
        <w:tc>
          <w:tcPr>
            <w:tcW w:w="1560" w:type="dxa"/>
          </w:tcPr>
          <w:p>
            <w:pPr>
              <w:pStyle w:val="167"/>
              <w:spacing w:line="240" w:lineRule="auto" w:before="0" w:after="0"/>
            </w:pPr>
            <w:r>
              <w:rPr>
                <w:rFonts w:ascii="Times New Roman" w:hAnsi="Times New Roman" w:eastAsia="宋体"/>
              </w:rPr>
              <w:t>4</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complementary_strong_added</w:t>
            </w:r>
          </w:p>
        </w:tc>
        <w:tc>
          <w:tcPr>
            <w:tcW w:w="1560" w:type="dxa"/>
          </w:tcPr>
          <w:p>
            <w:pPr>
              <w:pStyle w:val="167"/>
              <w:spacing w:line="240" w:lineRule="auto" w:before="0" w:after="0"/>
            </w:pPr>
            <w:r>
              <w:rPr>
                <w:rFonts w:ascii="Times New Roman" w:hAnsi="Times New Roman" w:eastAsia="宋体"/>
              </w:rPr>
              <w:t>8</w:t>
            </w:r>
          </w:p>
        </w:tc>
        <w:tc>
          <w:tcPr>
            <w:tcW w:w="1560" w:type="dxa"/>
          </w:tcPr>
          <w:p>
            <w:pPr>
              <w:pStyle w:val="167"/>
              <w:spacing w:line="240" w:lineRule="auto" w:before="0" w:after="0"/>
            </w:pPr>
            <w:r>
              <w:rPr>
                <w:rFonts w:ascii="Times New Roman" w:hAnsi="Times New Roman" w:eastAsia="宋体"/>
              </w:rPr>
              <w:t>1.7106</w:t>
            </w:r>
          </w:p>
        </w:tc>
        <w:tc>
          <w:tcPr>
            <w:tcW w:w="1560" w:type="dxa"/>
          </w:tcPr>
          <w:p>
            <w:pPr>
              <w:pStyle w:val="167"/>
              <w:spacing w:line="240" w:lineRule="auto" w:before="0" w:after="0"/>
            </w:pPr>
            <w:r>
              <w:rPr>
                <w:rFonts w:ascii="Times New Roman" w:hAnsi="Times New Roman" w:eastAsia="宋体"/>
              </w:rPr>
              <w:t>0.0449</w:t>
            </w:r>
          </w:p>
        </w:tc>
        <w:tc>
          <w:tcPr>
            <w:tcW w:w="1560" w:type="dxa"/>
          </w:tcPr>
          <w:p>
            <w:pPr>
              <w:pStyle w:val="167"/>
              <w:spacing w:line="240" w:lineRule="auto" w:before="0" w:after="0"/>
            </w:pPr>
            <w:r>
              <w:rPr>
                <w:rFonts w:ascii="Times New Roman" w:hAnsi="Times New Roman" w:eastAsia="宋体"/>
              </w:rPr>
              <w:t>0.0239</w:t>
            </w:r>
          </w:p>
        </w:tc>
        <w:tc>
          <w:tcPr>
            <w:tcW w:w="1560" w:type="dxa"/>
          </w:tcPr>
          <w:p>
            <w:pPr>
              <w:pStyle w:val="167"/>
              <w:spacing w:line="240" w:lineRule="auto" w:before="0" w:after="0"/>
            </w:pPr>
            <w:r>
              <w:rPr>
                <w:rFonts w:ascii="Times New Roman" w:hAnsi="Times New Roman" w:eastAsia="宋体"/>
              </w:rPr>
              <w:t>0.3520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complementary_strong_added</w:t>
            </w:r>
          </w:p>
        </w:tc>
        <w:tc>
          <w:tcPr>
            <w:tcW w:w="1560" w:type="dxa"/>
          </w:tcPr>
          <w:p>
            <w:pPr>
              <w:pStyle w:val="167"/>
              <w:spacing w:line="240" w:lineRule="auto" w:before="0" w:after="0"/>
            </w:pPr>
            <w:r>
              <w:rPr>
                <w:rFonts w:ascii="Times New Roman" w:hAnsi="Times New Roman" w:eastAsia="宋体"/>
              </w:rPr>
              <w:t>16</w:t>
            </w:r>
          </w:p>
        </w:tc>
        <w:tc>
          <w:tcPr>
            <w:tcW w:w="1560" w:type="dxa"/>
          </w:tcPr>
          <w:p>
            <w:pPr>
              <w:pStyle w:val="167"/>
              <w:spacing w:line="240" w:lineRule="auto" w:before="0" w:after="0"/>
            </w:pPr>
            <w:r>
              <w:rPr>
                <w:rFonts w:ascii="Times New Roman" w:hAnsi="Times New Roman" w:eastAsia="宋体"/>
              </w:rPr>
              <w:t>1.5041</w:t>
            </w:r>
          </w:p>
        </w:tc>
        <w:tc>
          <w:tcPr>
            <w:tcW w:w="1560" w:type="dxa"/>
          </w:tcPr>
          <w:p>
            <w:pPr>
              <w:pStyle w:val="167"/>
              <w:spacing w:line="240" w:lineRule="auto" w:before="0" w:after="0"/>
            </w:pPr>
            <w:r>
              <w:rPr>
                <w:rFonts w:ascii="Times New Roman" w:hAnsi="Times New Roman" w:eastAsia="宋体"/>
              </w:rPr>
              <w:t>0.0475</w:t>
            </w:r>
          </w:p>
        </w:tc>
        <w:tc>
          <w:tcPr>
            <w:tcW w:w="1560" w:type="dxa"/>
          </w:tcPr>
          <w:p>
            <w:pPr>
              <w:pStyle w:val="167"/>
              <w:spacing w:line="240" w:lineRule="auto" w:before="0" w:after="0"/>
            </w:pPr>
            <w:r>
              <w:rPr>
                <w:rFonts w:ascii="Times New Roman" w:hAnsi="Times New Roman" w:eastAsia="宋体"/>
              </w:rPr>
              <w:t>0.0235</w:t>
            </w:r>
          </w:p>
        </w:tc>
        <w:tc>
          <w:tcPr>
            <w:tcW w:w="1560" w:type="dxa"/>
          </w:tcPr>
          <w:p>
            <w:pPr>
              <w:pStyle w:val="167"/>
              <w:spacing w:line="240" w:lineRule="auto" w:before="0" w:after="0"/>
            </w:pPr>
            <w:r>
              <w:rPr>
                <w:rFonts w:ascii="Times New Roman" w:hAnsi="Times New Roman" w:eastAsia="宋体"/>
              </w:rPr>
              <w:t>0.3591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complementary_strong_added</w:t>
            </w:r>
          </w:p>
        </w:tc>
        <w:tc>
          <w:tcPr>
            <w:tcW w:w="1560" w:type="dxa"/>
          </w:tcPr>
          <w:p>
            <w:pPr>
              <w:pStyle w:val="167"/>
              <w:spacing w:line="240" w:lineRule="auto" w:before="0" w:after="0"/>
            </w:pPr>
            <w:r>
              <w:rPr>
                <w:rFonts w:ascii="Times New Roman" w:hAnsi="Times New Roman" w:eastAsia="宋体"/>
              </w:rPr>
              <w:t>32</w:t>
            </w:r>
          </w:p>
        </w:tc>
        <w:tc>
          <w:tcPr>
            <w:tcW w:w="1560" w:type="dxa"/>
          </w:tcPr>
          <w:p>
            <w:pPr>
              <w:pStyle w:val="167"/>
              <w:spacing w:line="240" w:lineRule="auto" w:before="0" w:after="0"/>
            </w:pPr>
            <w:r>
              <w:rPr>
                <w:rFonts w:ascii="Times New Roman" w:hAnsi="Times New Roman" w:eastAsia="宋体"/>
              </w:rPr>
              <w:t>1.4455</w:t>
            </w:r>
          </w:p>
        </w:tc>
        <w:tc>
          <w:tcPr>
            <w:tcW w:w="1560" w:type="dxa"/>
          </w:tcPr>
          <w:p>
            <w:pPr>
              <w:pStyle w:val="167"/>
              <w:spacing w:line="240" w:lineRule="auto" w:before="0" w:after="0"/>
            </w:pPr>
            <w:r>
              <w:rPr>
                <w:rFonts w:ascii="Times New Roman" w:hAnsi="Times New Roman" w:eastAsia="宋体"/>
              </w:rPr>
              <w:t>0.0493</w:t>
            </w:r>
          </w:p>
        </w:tc>
        <w:tc>
          <w:tcPr>
            <w:tcW w:w="1560" w:type="dxa"/>
          </w:tcPr>
          <w:p>
            <w:pPr>
              <w:pStyle w:val="167"/>
              <w:spacing w:line="240" w:lineRule="auto" w:before="0" w:after="0"/>
            </w:pPr>
            <w:r>
              <w:rPr>
                <w:rFonts w:ascii="Times New Roman" w:hAnsi="Times New Roman" w:eastAsia="宋体"/>
              </w:rPr>
              <w:t>0.0242</w:t>
            </w:r>
          </w:p>
        </w:tc>
        <w:tc>
          <w:tcPr>
            <w:tcW w:w="1560" w:type="dxa"/>
          </w:tcPr>
          <w:p>
            <w:pPr>
              <w:pStyle w:val="167"/>
              <w:spacing w:line="240" w:lineRule="auto" w:before="0" w:after="0"/>
            </w:pPr>
            <w:r>
              <w:rPr>
                <w:rFonts w:ascii="Times New Roman" w:hAnsi="Times New Roman" w:eastAsia="宋体"/>
              </w:rPr>
              <w:t>0.3601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exact_duplicate</w:t>
            </w:r>
          </w:p>
        </w:tc>
        <w:tc>
          <w:tcPr>
            <w:tcW w:w="1560" w:type="dxa"/>
          </w:tcPr>
          <w:p>
            <w:pPr>
              <w:pStyle w:val="167"/>
              <w:spacing w:line="240" w:lineRule="auto" w:before="0" w:after="0"/>
            </w:pPr>
            <w:r>
              <w:rPr>
                <w:rFonts w:ascii="Times New Roman" w:hAnsi="Times New Roman" w:eastAsia="宋体"/>
              </w:rPr>
              <w:t>4</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exact_duplicate</w:t>
            </w:r>
          </w:p>
        </w:tc>
        <w:tc>
          <w:tcPr>
            <w:tcW w:w="1560" w:type="dxa"/>
          </w:tcPr>
          <w:p>
            <w:pPr>
              <w:pStyle w:val="167"/>
              <w:spacing w:line="240" w:lineRule="auto" w:before="0" w:after="0"/>
            </w:pPr>
            <w:r>
              <w:rPr>
                <w:rFonts w:ascii="Times New Roman" w:hAnsi="Times New Roman" w:eastAsia="宋体"/>
              </w:rPr>
              <w:t>8</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exact_duplicate</w:t>
            </w:r>
          </w:p>
        </w:tc>
        <w:tc>
          <w:tcPr>
            <w:tcW w:w="1560" w:type="dxa"/>
          </w:tcPr>
          <w:p>
            <w:pPr>
              <w:pStyle w:val="167"/>
              <w:spacing w:line="240" w:lineRule="auto" w:before="0" w:after="0"/>
            </w:pPr>
            <w:r>
              <w:rPr>
                <w:rFonts w:ascii="Times New Roman" w:hAnsi="Times New Roman" w:eastAsia="宋体"/>
              </w:rPr>
              <w:t>16</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exact_duplicate</w:t>
            </w:r>
          </w:p>
        </w:tc>
        <w:tc>
          <w:tcPr>
            <w:tcW w:w="1560" w:type="dxa"/>
          </w:tcPr>
          <w:p>
            <w:pPr>
              <w:pStyle w:val="167"/>
              <w:spacing w:line="240" w:lineRule="auto" w:before="0" w:after="0"/>
            </w:pPr>
            <w:r>
              <w:rPr>
                <w:rFonts w:ascii="Times New Roman" w:hAnsi="Times New Roman" w:eastAsia="宋体"/>
              </w:rPr>
              <w:t>32</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near_duplicate_95pct_anchor</w:t>
            </w:r>
          </w:p>
        </w:tc>
        <w:tc>
          <w:tcPr>
            <w:tcW w:w="1560" w:type="dxa"/>
          </w:tcPr>
          <w:p>
            <w:pPr>
              <w:pStyle w:val="167"/>
              <w:spacing w:line="240" w:lineRule="auto" w:before="0" w:after="0"/>
            </w:pPr>
            <w:r>
              <w:rPr>
                <w:rFonts w:ascii="Times New Roman" w:hAnsi="Times New Roman" w:eastAsia="宋体"/>
              </w:rPr>
              <w:t>4</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near_duplicate_95pct_anchor</w:t>
            </w:r>
          </w:p>
        </w:tc>
        <w:tc>
          <w:tcPr>
            <w:tcW w:w="1560" w:type="dxa"/>
          </w:tcPr>
          <w:p>
            <w:pPr>
              <w:pStyle w:val="167"/>
              <w:spacing w:line="240" w:lineRule="auto" w:before="0" w:after="0"/>
            </w:pPr>
            <w:r>
              <w:rPr>
                <w:rFonts w:ascii="Times New Roman" w:hAnsi="Times New Roman" w:eastAsia="宋体"/>
              </w:rPr>
              <w:t>8</w:t>
            </w:r>
          </w:p>
        </w:tc>
        <w:tc>
          <w:tcPr>
            <w:tcW w:w="1560" w:type="dxa"/>
          </w:tcPr>
          <w:p>
            <w:pPr>
              <w:pStyle w:val="167"/>
              <w:spacing w:line="240" w:lineRule="auto" w:before="0" w:after="0"/>
            </w:pPr>
            <w:r>
              <w:rPr>
                <w:rFonts w:ascii="Times New Roman" w:hAnsi="Times New Roman" w:eastAsia="宋体"/>
              </w:rPr>
              <w:t>1.3979</w:t>
            </w:r>
          </w:p>
        </w:tc>
        <w:tc>
          <w:tcPr>
            <w:tcW w:w="1560" w:type="dxa"/>
          </w:tcPr>
          <w:p>
            <w:pPr>
              <w:pStyle w:val="167"/>
              <w:spacing w:line="240" w:lineRule="auto" w:before="0" w:after="0"/>
            </w:pPr>
            <w:r>
              <w:rPr>
                <w:rFonts w:ascii="Times New Roman" w:hAnsi="Times New Roman" w:eastAsia="宋体"/>
              </w:rPr>
              <w:t>0.0281</w:t>
            </w:r>
          </w:p>
        </w:tc>
        <w:tc>
          <w:tcPr>
            <w:tcW w:w="1560" w:type="dxa"/>
          </w:tcPr>
          <w:p>
            <w:pPr>
              <w:pStyle w:val="167"/>
              <w:spacing w:line="240" w:lineRule="auto" w:before="0" w:after="0"/>
            </w:pPr>
            <w:r>
              <w:rPr>
                <w:rFonts w:ascii="Times New Roman" w:hAnsi="Times New Roman" w:eastAsia="宋体"/>
              </w:rPr>
              <w:t>0.0172</w:t>
            </w:r>
          </w:p>
        </w:tc>
        <w:tc>
          <w:tcPr>
            <w:tcW w:w="1560" w:type="dxa"/>
          </w:tcPr>
          <w:p>
            <w:pPr>
              <w:pStyle w:val="167"/>
              <w:spacing w:line="240" w:lineRule="auto" w:before="0" w:after="0"/>
            </w:pPr>
            <w:r>
              <w:rPr>
                <w:rFonts w:ascii="Times New Roman" w:hAnsi="Times New Roman" w:eastAsia="宋体"/>
              </w:rPr>
              <w:t>0.3199</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near_duplicate_95pct_anchor</w:t>
            </w:r>
          </w:p>
        </w:tc>
        <w:tc>
          <w:tcPr>
            <w:tcW w:w="1560" w:type="dxa"/>
          </w:tcPr>
          <w:p>
            <w:pPr>
              <w:pStyle w:val="167"/>
              <w:spacing w:line="240" w:lineRule="auto" w:before="0" w:after="0"/>
            </w:pPr>
            <w:r>
              <w:rPr>
                <w:rFonts w:ascii="Times New Roman" w:hAnsi="Times New Roman" w:eastAsia="宋体"/>
              </w:rPr>
              <w:t>16</w:t>
            </w:r>
          </w:p>
        </w:tc>
        <w:tc>
          <w:tcPr>
            <w:tcW w:w="1560" w:type="dxa"/>
          </w:tcPr>
          <w:p>
            <w:pPr>
              <w:pStyle w:val="167"/>
              <w:spacing w:line="240" w:lineRule="auto" w:before="0" w:after="0"/>
            </w:pPr>
            <w:r>
              <w:rPr>
                <w:rFonts w:ascii="Times New Roman" w:hAnsi="Times New Roman" w:eastAsia="宋体"/>
              </w:rPr>
              <w:t>1.3945</w:t>
            </w:r>
          </w:p>
        </w:tc>
        <w:tc>
          <w:tcPr>
            <w:tcW w:w="1560" w:type="dxa"/>
          </w:tcPr>
          <w:p>
            <w:pPr>
              <w:pStyle w:val="167"/>
              <w:spacing w:line="240" w:lineRule="auto" w:before="0" w:after="0"/>
            </w:pPr>
            <w:r>
              <w:rPr>
                <w:rFonts w:ascii="Times New Roman" w:hAnsi="Times New Roman" w:eastAsia="宋体"/>
              </w:rPr>
              <w:t>0.0286</w:t>
            </w:r>
          </w:p>
        </w:tc>
        <w:tc>
          <w:tcPr>
            <w:tcW w:w="1560" w:type="dxa"/>
          </w:tcPr>
          <w:p>
            <w:pPr>
              <w:pStyle w:val="167"/>
              <w:spacing w:line="240" w:lineRule="auto" w:before="0" w:after="0"/>
            </w:pPr>
            <w:r>
              <w:rPr>
                <w:rFonts w:ascii="Times New Roman" w:hAnsi="Times New Roman" w:eastAsia="宋体"/>
              </w:rPr>
              <w:t>0.0174</w:t>
            </w:r>
          </w:p>
        </w:tc>
        <w:tc>
          <w:tcPr>
            <w:tcW w:w="1560" w:type="dxa"/>
          </w:tcPr>
          <w:p>
            <w:pPr>
              <w:pStyle w:val="167"/>
              <w:spacing w:line="240" w:lineRule="auto" w:before="0" w:after="0"/>
            </w:pPr>
            <w:r>
              <w:rPr>
                <w:rFonts w:ascii="Times New Roman" w:hAnsi="Times New Roman" w:eastAsia="宋体"/>
              </w:rPr>
              <w:t>0.3204</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near_duplicate_95pct_anchor</w:t>
            </w:r>
          </w:p>
        </w:tc>
        <w:tc>
          <w:tcPr>
            <w:tcW w:w="1560" w:type="dxa"/>
          </w:tcPr>
          <w:p>
            <w:pPr>
              <w:pStyle w:val="167"/>
              <w:spacing w:line="240" w:lineRule="auto" w:before="0" w:after="0"/>
            </w:pPr>
            <w:r>
              <w:rPr>
                <w:rFonts w:ascii="Times New Roman" w:hAnsi="Times New Roman" w:eastAsia="宋体"/>
              </w:rPr>
              <w:t>32</w:t>
            </w:r>
          </w:p>
        </w:tc>
        <w:tc>
          <w:tcPr>
            <w:tcW w:w="1560" w:type="dxa"/>
          </w:tcPr>
          <w:p>
            <w:pPr>
              <w:pStyle w:val="167"/>
              <w:spacing w:line="240" w:lineRule="auto" w:before="0" w:after="0"/>
            </w:pPr>
            <w:r>
              <w:rPr>
                <w:rFonts w:ascii="Times New Roman" w:hAnsi="Times New Roman" w:eastAsia="宋体"/>
              </w:rPr>
              <w:t>1.3935</w:t>
            </w:r>
          </w:p>
        </w:tc>
        <w:tc>
          <w:tcPr>
            <w:tcW w:w="1560" w:type="dxa"/>
          </w:tcPr>
          <w:p>
            <w:pPr>
              <w:pStyle w:val="167"/>
              <w:spacing w:line="240" w:lineRule="auto" w:before="0" w:after="0"/>
            </w:pPr>
            <w:r>
              <w:rPr>
                <w:rFonts w:ascii="Times New Roman" w:hAnsi="Times New Roman" w:eastAsia="宋体"/>
              </w:rPr>
              <w:t>0.0288</w:t>
            </w:r>
          </w:p>
        </w:tc>
        <w:tc>
          <w:tcPr>
            <w:tcW w:w="1560" w:type="dxa"/>
          </w:tcPr>
          <w:p>
            <w:pPr>
              <w:pStyle w:val="167"/>
              <w:spacing w:line="240" w:lineRule="auto" w:before="0" w:after="0"/>
            </w:pPr>
            <w:r>
              <w:rPr>
                <w:rFonts w:ascii="Times New Roman" w:hAnsi="Times New Roman" w:eastAsia="宋体"/>
              </w:rPr>
              <w:t>0.0174</w:t>
            </w:r>
          </w:p>
        </w:tc>
        <w:tc>
          <w:tcPr>
            <w:tcW w:w="1560" w:type="dxa"/>
          </w:tcPr>
          <w:p>
            <w:pPr>
              <w:pStyle w:val="167"/>
              <w:spacing w:line="240" w:lineRule="auto" w:before="0" w:after="0"/>
            </w:pPr>
            <w:r>
              <w:rPr>
                <w:rFonts w:ascii="Times New Roman" w:hAnsi="Times New Roman" w:eastAsia="宋体"/>
              </w:rPr>
              <w:t>0.3209</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registered</w:t>
            </w:r>
          </w:p>
        </w:tc>
        <w:tc>
          <w:tcPr>
            <w:tcW w:w="1560" w:type="dxa"/>
          </w:tcPr>
          <w:p>
            <w:pPr>
              <w:pStyle w:val="167"/>
              <w:spacing w:line="240" w:lineRule="auto" w:before="0" w:after="0"/>
            </w:pPr>
            <w:r>
              <w:rPr>
                <w:rFonts w:ascii="Times New Roman" w:hAnsi="Times New Roman" w:eastAsia="宋体"/>
              </w:rPr>
              <w:t>4</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registered</w:t>
            </w:r>
          </w:p>
        </w:tc>
        <w:tc>
          <w:tcPr>
            <w:tcW w:w="1560" w:type="dxa"/>
          </w:tcPr>
          <w:p>
            <w:pPr>
              <w:pStyle w:val="167"/>
              <w:spacing w:line="240" w:lineRule="auto" w:before="0" w:after="0"/>
            </w:pPr>
            <w:r>
              <w:rPr>
                <w:rFonts w:ascii="Times New Roman" w:hAnsi="Times New Roman" w:eastAsia="宋体"/>
              </w:rPr>
              <w:t>8</w:t>
            </w:r>
          </w:p>
        </w:tc>
        <w:tc>
          <w:tcPr>
            <w:tcW w:w="1560" w:type="dxa"/>
          </w:tcPr>
          <w:p>
            <w:pPr>
              <w:pStyle w:val="167"/>
              <w:spacing w:line="240" w:lineRule="auto" w:before="0" w:after="0"/>
            </w:pPr>
            <w:r>
              <w:rPr>
                <w:rFonts w:ascii="Times New Roman" w:hAnsi="Times New Roman" w:eastAsia="宋体"/>
              </w:rPr>
              <w:t>1.6481</w:t>
            </w:r>
          </w:p>
        </w:tc>
        <w:tc>
          <w:tcPr>
            <w:tcW w:w="1560" w:type="dxa"/>
          </w:tcPr>
          <w:p>
            <w:pPr>
              <w:pStyle w:val="167"/>
              <w:spacing w:line="240" w:lineRule="auto" w:before="0" w:after="0"/>
            </w:pPr>
            <w:r>
              <w:rPr>
                <w:rFonts w:ascii="Times New Roman" w:hAnsi="Times New Roman" w:eastAsia="宋体"/>
              </w:rPr>
              <w:t>0.0442</w:t>
            </w:r>
          </w:p>
        </w:tc>
        <w:tc>
          <w:tcPr>
            <w:tcW w:w="1560" w:type="dxa"/>
          </w:tcPr>
          <w:p>
            <w:pPr>
              <w:pStyle w:val="167"/>
              <w:spacing w:line="240" w:lineRule="auto" w:before="0" w:after="0"/>
            </w:pPr>
            <w:r>
              <w:rPr>
                <w:rFonts w:ascii="Times New Roman" w:hAnsi="Times New Roman" w:eastAsia="宋体"/>
              </w:rPr>
              <w:t>0.0256</w:t>
            </w:r>
          </w:p>
        </w:tc>
        <w:tc>
          <w:tcPr>
            <w:tcW w:w="1560" w:type="dxa"/>
          </w:tcPr>
          <w:p>
            <w:pPr>
              <w:pStyle w:val="167"/>
              <w:spacing w:line="240" w:lineRule="auto" w:before="0" w:after="0"/>
            </w:pPr>
            <w:r>
              <w:rPr>
                <w:rFonts w:ascii="Times New Roman" w:hAnsi="Times New Roman" w:eastAsia="宋体"/>
              </w:rPr>
              <w:t>0.3405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registered</w:t>
            </w:r>
          </w:p>
        </w:tc>
        <w:tc>
          <w:tcPr>
            <w:tcW w:w="1560" w:type="dxa"/>
          </w:tcPr>
          <w:p>
            <w:pPr>
              <w:pStyle w:val="167"/>
              <w:spacing w:line="240" w:lineRule="auto" w:before="0" w:after="0"/>
            </w:pPr>
            <w:r>
              <w:rPr>
                <w:rFonts w:ascii="Times New Roman" w:hAnsi="Times New Roman" w:eastAsia="宋体"/>
              </w:rPr>
              <w:t>16</w:t>
            </w:r>
          </w:p>
        </w:tc>
        <w:tc>
          <w:tcPr>
            <w:tcW w:w="1560" w:type="dxa"/>
          </w:tcPr>
          <w:p>
            <w:pPr>
              <w:pStyle w:val="167"/>
              <w:spacing w:line="240" w:lineRule="auto" w:before="0" w:after="0"/>
            </w:pPr>
            <w:r>
              <w:rPr>
                <w:rFonts w:ascii="Times New Roman" w:hAnsi="Times New Roman" w:eastAsia="宋体"/>
              </w:rPr>
              <w:t>1.5713</w:t>
            </w:r>
          </w:p>
        </w:tc>
        <w:tc>
          <w:tcPr>
            <w:tcW w:w="1560" w:type="dxa"/>
          </w:tcPr>
          <w:p>
            <w:pPr>
              <w:pStyle w:val="167"/>
              <w:spacing w:line="240" w:lineRule="auto" w:before="0" w:after="0"/>
            </w:pPr>
            <w:r>
              <w:rPr>
                <w:rFonts w:ascii="Times New Roman" w:hAnsi="Times New Roman" w:eastAsia="宋体"/>
              </w:rPr>
              <w:t>0.0461</w:t>
            </w:r>
          </w:p>
        </w:tc>
        <w:tc>
          <w:tcPr>
            <w:tcW w:w="1560" w:type="dxa"/>
          </w:tcPr>
          <w:p>
            <w:pPr>
              <w:pStyle w:val="167"/>
              <w:spacing w:line="240" w:lineRule="auto" w:before="0" w:after="0"/>
            </w:pPr>
            <w:r>
              <w:rPr>
                <w:rFonts w:ascii="Times New Roman" w:hAnsi="Times New Roman" w:eastAsia="宋体"/>
              </w:rPr>
              <w:t>0.0215</w:t>
            </w:r>
          </w:p>
        </w:tc>
        <w:tc>
          <w:tcPr>
            <w:tcW w:w="1560" w:type="dxa"/>
          </w:tcPr>
          <w:p>
            <w:pPr>
              <w:pStyle w:val="167"/>
              <w:spacing w:line="240" w:lineRule="auto" w:before="0" w:after="0"/>
            </w:pPr>
            <w:r>
              <w:rPr>
                <w:rFonts w:ascii="Times New Roman" w:hAnsi="Times New Roman" w:eastAsia="宋体"/>
              </w:rPr>
              <w:t>0.3525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registered</w:t>
            </w:r>
          </w:p>
        </w:tc>
        <w:tc>
          <w:tcPr>
            <w:tcW w:w="1560" w:type="dxa"/>
          </w:tcPr>
          <w:p>
            <w:pPr>
              <w:pStyle w:val="167"/>
              <w:spacing w:line="240" w:lineRule="auto" w:before="0" w:after="0"/>
            </w:pPr>
            <w:r>
              <w:rPr>
                <w:rFonts w:ascii="Times New Roman" w:hAnsi="Times New Roman" w:eastAsia="宋体"/>
              </w:rPr>
              <w:t>32</w:t>
            </w:r>
          </w:p>
        </w:tc>
        <w:tc>
          <w:tcPr>
            <w:tcW w:w="1560" w:type="dxa"/>
          </w:tcPr>
          <w:p>
            <w:pPr>
              <w:pStyle w:val="167"/>
              <w:spacing w:line="240" w:lineRule="auto" w:before="0" w:after="0"/>
            </w:pPr>
            <w:r>
              <w:rPr>
                <w:rFonts w:ascii="Times New Roman" w:hAnsi="Times New Roman" w:eastAsia="宋体"/>
              </w:rPr>
              <w:t>1.4455</w:t>
            </w:r>
          </w:p>
        </w:tc>
        <w:tc>
          <w:tcPr>
            <w:tcW w:w="1560" w:type="dxa"/>
          </w:tcPr>
          <w:p>
            <w:pPr>
              <w:pStyle w:val="167"/>
              <w:spacing w:line="240" w:lineRule="auto" w:before="0" w:after="0"/>
            </w:pPr>
            <w:r>
              <w:rPr>
                <w:rFonts w:ascii="Times New Roman" w:hAnsi="Times New Roman" w:eastAsia="宋体"/>
              </w:rPr>
              <w:t>0.0493</w:t>
            </w:r>
          </w:p>
        </w:tc>
        <w:tc>
          <w:tcPr>
            <w:tcW w:w="1560" w:type="dxa"/>
          </w:tcPr>
          <w:p>
            <w:pPr>
              <w:pStyle w:val="167"/>
              <w:spacing w:line="240" w:lineRule="auto" w:before="0" w:after="0"/>
            </w:pPr>
            <w:r>
              <w:rPr>
                <w:rFonts w:ascii="Times New Roman" w:hAnsi="Times New Roman" w:eastAsia="宋体"/>
              </w:rPr>
              <w:t>0.0242</w:t>
            </w:r>
          </w:p>
        </w:tc>
        <w:tc>
          <w:tcPr>
            <w:tcW w:w="1560" w:type="dxa"/>
          </w:tcPr>
          <w:p>
            <w:pPr>
              <w:pStyle w:val="167"/>
              <w:spacing w:line="240" w:lineRule="auto" w:before="0" w:after="0"/>
            </w:pPr>
            <w:r>
              <w:rPr>
                <w:rFonts w:ascii="Times New Roman" w:hAnsi="Times New Roman" w:eastAsia="宋体"/>
              </w:rPr>
              <w:t>0.3601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weak_added</w:t>
            </w:r>
          </w:p>
        </w:tc>
        <w:tc>
          <w:tcPr>
            <w:tcW w:w="1560" w:type="dxa"/>
          </w:tcPr>
          <w:p>
            <w:pPr>
              <w:pStyle w:val="167"/>
              <w:spacing w:line="240" w:lineRule="auto" w:before="0" w:after="0"/>
            </w:pPr>
            <w:r>
              <w:rPr>
                <w:rFonts w:ascii="Times New Roman" w:hAnsi="Times New Roman" w:eastAsia="宋体"/>
              </w:rPr>
              <w:t>4</w:t>
            </w:r>
          </w:p>
        </w:tc>
        <w:tc>
          <w:tcPr>
            <w:tcW w:w="1560" w:type="dxa"/>
          </w:tcPr>
          <w:p>
            <w:pPr>
              <w:pStyle w:val="167"/>
              <w:spacing w:line="240" w:lineRule="auto" w:before="0" w:after="0"/>
            </w:pPr>
            <w:r>
              <w:rPr>
                <w:rFonts w:ascii="Times New Roman" w:hAnsi="Times New Roman" w:eastAsia="宋体"/>
              </w:rPr>
              <w:t>1.4046</w:t>
            </w:r>
          </w:p>
        </w:tc>
        <w:tc>
          <w:tcPr>
            <w:tcW w:w="1560" w:type="dxa"/>
          </w:tcPr>
          <w:p>
            <w:pPr>
              <w:pStyle w:val="167"/>
              <w:spacing w:line="240" w:lineRule="auto" w:before="0" w:after="0"/>
            </w:pPr>
            <w:r>
              <w:rPr>
                <w:rFonts w:ascii="Times New Roman" w:hAnsi="Times New Roman" w:eastAsia="宋体"/>
              </w:rPr>
              <w:t>0.0279</w:t>
            </w:r>
          </w:p>
        </w:tc>
        <w:tc>
          <w:tcPr>
            <w:tcW w:w="1560" w:type="dxa"/>
          </w:tcPr>
          <w:p>
            <w:pPr>
              <w:pStyle w:val="167"/>
              <w:spacing w:line="240" w:lineRule="auto" w:before="0" w:after="0"/>
            </w:pPr>
            <w:r>
              <w:rPr>
                <w:rFonts w:ascii="Times New Roman" w:hAnsi="Times New Roman" w:eastAsia="宋体"/>
              </w:rPr>
              <w:t>0.0171</w:t>
            </w:r>
          </w:p>
        </w:tc>
        <w:tc>
          <w:tcPr>
            <w:tcW w:w="1560" w:type="dxa"/>
          </w:tcPr>
          <w:p>
            <w:pPr>
              <w:pStyle w:val="167"/>
              <w:spacing w:line="240" w:lineRule="auto" w:before="0" w:after="0"/>
            </w:pPr>
            <w:r>
              <w:rPr>
                <w:rFonts w:ascii="Times New Roman" w:hAnsi="Times New Roman" w:eastAsia="宋体"/>
              </w:rPr>
              <w:t>0.3193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weak_added</w:t>
            </w:r>
          </w:p>
        </w:tc>
        <w:tc>
          <w:tcPr>
            <w:tcW w:w="1560" w:type="dxa"/>
          </w:tcPr>
          <w:p>
            <w:pPr>
              <w:pStyle w:val="167"/>
              <w:spacing w:line="240" w:lineRule="auto" w:before="0" w:after="0"/>
            </w:pPr>
            <w:r>
              <w:rPr>
                <w:rFonts w:ascii="Times New Roman" w:hAnsi="Times New Roman" w:eastAsia="宋体"/>
              </w:rPr>
              <w:t>8</w:t>
            </w:r>
          </w:p>
        </w:tc>
        <w:tc>
          <w:tcPr>
            <w:tcW w:w="1560" w:type="dxa"/>
          </w:tcPr>
          <w:p>
            <w:pPr>
              <w:pStyle w:val="167"/>
              <w:spacing w:line="240" w:lineRule="auto" w:before="0" w:after="0"/>
            </w:pPr>
            <w:r>
              <w:rPr>
                <w:rFonts w:ascii="Times New Roman" w:hAnsi="Times New Roman" w:eastAsia="宋体"/>
              </w:rPr>
              <w:t>1.7570</w:t>
            </w:r>
          </w:p>
        </w:tc>
        <w:tc>
          <w:tcPr>
            <w:tcW w:w="1560" w:type="dxa"/>
          </w:tcPr>
          <w:p>
            <w:pPr>
              <w:pStyle w:val="167"/>
              <w:spacing w:line="240" w:lineRule="auto" w:before="0" w:after="0"/>
            </w:pPr>
            <w:r>
              <w:rPr>
                <w:rFonts w:ascii="Times New Roman" w:hAnsi="Times New Roman" w:eastAsia="宋体"/>
              </w:rPr>
              <w:t>0.0362</w:t>
            </w:r>
          </w:p>
        </w:tc>
        <w:tc>
          <w:tcPr>
            <w:tcW w:w="1560" w:type="dxa"/>
          </w:tcPr>
          <w:p>
            <w:pPr>
              <w:pStyle w:val="167"/>
              <w:spacing w:line="240" w:lineRule="auto" w:before="0" w:after="0"/>
            </w:pPr>
            <w:r>
              <w:rPr>
                <w:rFonts w:ascii="Times New Roman" w:hAnsi="Times New Roman" w:eastAsia="宋体"/>
              </w:rPr>
              <w:t>0.0218</w:t>
            </w:r>
          </w:p>
        </w:tc>
        <w:tc>
          <w:tcPr>
            <w:tcW w:w="1560" w:type="dxa"/>
          </w:tcPr>
          <w:p>
            <w:pPr>
              <w:pStyle w:val="167"/>
              <w:spacing w:line="240" w:lineRule="auto" w:before="0" w:after="0"/>
            </w:pPr>
            <w:r>
              <w:rPr>
                <w:rFonts w:ascii="Times New Roman" w:hAnsi="Times New Roman" w:eastAsia="宋体"/>
              </w:rPr>
              <w:t>0.3229</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weak_added</w:t>
            </w:r>
          </w:p>
        </w:tc>
        <w:tc>
          <w:tcPr>
            <w:tcW w:w="1560" w:type="dxa"/>
          </w:tcPr>
          <w:p>
            <w:pPr>
              <w:pStyle w:val="167"/>
              <w:spacing w:line="240" w:lineRule="auto" w:before="0" w:after="0"/>
            </w:pPr>
            <w:r>
              <w:rPr>
                <w:rFonts w:ascii="Times New Roman" w:hAnsi="Times New Roman" w:eastAsia="宋体"/>
              </w:rPr>
              <w:t>16</w:t>
            </w:r>
          </w:p>
        </w:tc>
        <w:tc>
          <w:tcPr>
            <w:tcW w:w="1560" w:type="dxa"/>
          </w:tcPr>
          <w:p>
            <w:pPr>
              <w:pStyle w:val="167"/>
              <w:spacing w:line="240" w:lineRule="auto" w:before="0" w:after="0"/>
            </w:pPr>
            <w:r>
              <w:rPr>
                <w:rFonts w:ascii="Times New Roman" w:hAnsi="Times New Roman" w:eastAsia="宋体"/>
              </w:rPr>
              <w:t>1.6163</w:t>
            </w:r>
          </w:p>
        </w:tc>
        <w:tc>
          <w:tcPr>
            <w:tcW w:w="1560" w:type="dxa"/>
          </w:tcPr>
          <w:p>
            <w:pPr>
              <w:pStyle w:val="167"/>
              <w:spacing w:line="240" w:lineRule="auto" w:before="0" w:after="0"/>
            </w:pPr>
            <w:r>
              <w:rPr>
                <w:rFonts w:ascii="Times New Roman" w:hAnsi="Times New Roman" w:eastAsia="宋体"/>
              </w:rPr>
              <w:t>0.0480</w:t>
            </w:r>
          </w:p>
        </w:tc>
        <w:tc>
          <w:tcPr>
            <w:tcW w:w="1560" w:type="dxa"/>
          </w:tcPr>
          <w:p>
            <w:pPr>
              <w:pStyle w:val="167"/>
              <w:spacing w:line="240" w:lineRule="auto" w:before="0" w:after="0"/>
            </w:pPr>
            <w:r>
              <w:rPr>
                <w:rFonts w:ascii="Times New Roman" w:hAnsi="Times New Roman" w:eastAsia="宋体"/>
              </w:rPr>
              <w:t>0.0293</w:t>
            </w:r>
          </w:p>
        </w:tc>
        <w:tc>
          <w:tcPr>
            <w:tcW w:w="1560" w:type="dxa"/>
          </w:tcPr>
          <w:p>
            <w:pPr>
              <w:pStyle w:val="167"/>
              <w:spacing w:line="240" w:lineRule="auto" w:before="0" w:after="0"/>
            </w:pPr>
            <w:r>
              <w:rPr>
                <w:rFonts w:ascii="Times New Roman" w:hAnsi="Times New Roman" w:eastAsia="宋体"/>
              </w:rPr>
              <w:t>0.3339</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weak_added</w:t>
            </w:r>
          </w:p>
        </w:tc>
        <w:tc>
          <w:tcPr>
            <w:tcW w:w="1560" w:type="dxa"/>
          </w:tcPr>
          <w:p>
            <w:pPr>
              <w:pStyle w:val="167"/>
              <w:spacing w:line="240" w:lineRule="auto" w:before="0" w:after="0"/>
            </w:pPr>
            <w:r>
              <w:rPr>
                <w:rFonts w:ascii="Times New Roman" w:hAnsi="Times New Roman" w:eastAsia="宋体"/>
              </w:rPr>
              <w:t>32</w:t>
            </w:r>
          </w:p>
        </w:tc>
        <w:tc>
          <w:tcPr>
            <w:tcW w:w="1560" w:type="dxa"/>
          </w:tcPr>
          <w:p>
            <w:pPr>
              <w:pStyle w:val="167"/>
              <w:spacing w:line="240" w:lineRule="auto" w:before="0" w:after="0"/>
            </w:pPr>
            <w:r>
              <w:rPr>
                <w:rFonts w:ascii="Times New Roman" w:hAnsi="Times New Roman" w:eastAsia="宋体"/>
              </w:rPr>
              <w:t>1.4455</w:t>
            </w:r>
          </w:p>
        </w:tc>
        <w:tc>
          <w:tcPr>
            <w:tcW w:w="1560" w:type="dxa"/>
          </w:tcPr>
          <w:p>
            <w:pPr>
              <w:pStyle w:val="167"/>
              <w:spacing w:line="240" w:lineRule="auto" w:before="0" w:after="0"/>
            </w:pPr>
            <w:r>
              <w:rPr>
                <w:rFonts w:ascii="Times New Roman" w:hAnsi="Times New Roman" w:eastAsia="宋体"/>
              </w:rPr>
              <w:t>0.0493</w:t>
            </w:r>
          </w:p>
        </w:tc>
        <w:tc>
          <w:tcPr>
            <w:tcW w:w="1560" w:type="dxa"/>
          </w:tcPr>
          <w:p>
            <w:pPr>
              <w:pStyle w:val="167"/>
              <w:spacing w:line="240" w:lineRule="auto" w:before="0" w:after="0"/>
            </w:pPr>
            <w:r>
              <w:rPr>
                <w:rFonts w:ascii="Times New Roman" w:hAnsi="Times New Roman" w:eastAsia="宋体"/>
              </w:rPr>
              <w:t>0.0242</w:t>
            </w:r>
          </w:p>
        </w:tc>
        <w:tc>
          <w:tcPr>
            <w:tcW w:w="1560" w:type="dxa"/>
          </w:tcPr>
          <w:p>
            <w:pPr>
              <w:pStyle w:val="167"/>
              <w:spacing w:line="240" w:lineRule="auto" w:before="0" w:after="0"/>
            </w:pPr>
            <w:r>
              <w:rPr>
                <w:rFonts w:ascii="Times New Roman" w:hAnsi="Times New Roman" w:eastAsia="宋体"/>
              </w:rPr>
              <w:t>0.3601</w:t>
            </w:r>
          </w:p>
        </w:tc>
      </w:tr>
    </w:tbl>
    <w:p>
      <w:pPr>
        <w:pStyle w:val="4"/>
        <w:spacing w:line="480" w:lineRule="auto" w:before="0" w:after="0"/>
      </w:pPr>
      <w:r>
        <w:rPr>
          <w:rFonts w:ascii="Times New Roman" w:hAnsi="Times New Roman" w:eastAsia="SimSun"/>
          <w:sz w:val="24"/>
        </w:rPr>
        <w:t>S22.4 Correlated heteroskedastic recovery simulation</w:t>
      </w:r>
    </w:p>
    <w:p>
      <w:pPr>
        <w:spacing w:line="480" w:lineRule="auto" w:before="0" w:after="0"/>
      </w:pPr>
      <w:r>
        <w:rPr>
          <w:rFonts w:ascii="Times New Roman" w:hAnsi="Times New Roman" w:eastAsia="SimSun"/>
          <w:sz w:val="24"/>
        </w:rPr>
        <w:t>Validation-minus-audit residual covariance was estimated separately by endpoint. Positive-semidefinite eigenvalue clipping was applied before simulation. Empirical correlated heteroskedastic and independent homoskedastic noise were compared at 0.5, 1 and 2 times the estimated scale, using 2,000 replicates per endpoint, K and scenario.</w:t>
      </w:r>
    </w:p>
    <w:p>
      <w:pPr>
        <w:pStyle w:val="166"/>
        <w:spacing w:line="240" w:lineRule="auto" w:before="60" w:after="60"/>
      </w:pPr>
      <w:r>
        <w:rPr>
          <w:rFonts w:ascii="Times New Roman" w:hAnsi="Times New Roman" w:eastAsia="SimSun"/>
          <w:sz w:val="20"/>
        </w:rPr>
        <w:t>Table S42. K = 32 empirical recovery summary</w:t>
      </w:r>
    </w:p>
    <w:tbl>
      <w:tblPr>
        <w:tblStyle w:val="33"/>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6"/>
        <w:gridCol w:w="1560"/>
        <w:gridCol w:w="1560"/>
        <w:gridCol w:w="1560"/>
        <w:gridCol w:w="1560"/>
        <w:gridCol w:w="156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560" w:type="dxa"/>
            <w:tcBorders>
              <w:bottom w:val="single" w:color="000000" w:sz="6" w:space="0"/>
            </w:tcBorders>
          </w:tcPr>
          <w:p>
            <w:pPr>
              <w:pStyle w:val="167"/>
              <w:spacing w:line="240" w:lineRule="auto" w:before="0" w:after="0"/>
            </w:pPr>
            <w:r>
              <w:rPr>
                <w:rFonts w:ascii="Times New Roman" w:hAnsi="Times New Roman" w:eastAsia="宋体"/>
              </w:rPr>
              <w:t>Endpoint</w:t>
            </w:r>
          </w:p>
        </w:tc>
        <w:tc>
          <w:tcPr>
            <w:tcW w:w="1560" w:type="dxa"/>
            <w:tcBorders>
              <w:bottom w:val="single" w:color="000000" w:sz="6" w:space="0"/>
            </w:tcBorders>
          </w:tcPr>
          <w:p>
            <w:pPr>
              <w:pStyle w:val="167"/>
              <w:spacing w:line="240" w:lineRule="auto" w:before="0" w:after="0"/>
            </w:pPr>
            <w:r>
              <w:rPr>
                <w:rFonts w:ascii="Times New Roman" w:hAnsi="Times New Roman" w:eastAsia="宋体"/>
              </w:rPr>
              <w:t>Mean simulated gap</w:t>
            </w:r>
          </w:p>
        </w:tc>
        <w:tc>
          <w:tcPr>
            <w:tcW w:w="1560" w:type="dxa"/>
            <w:tcBorders>
              <w:bottom w:val="single" w:color="000000" w:sz="6" w:space="0"/>
            </w:tcBorders>
          </w:tcPr>
          <w:p>
            <w:pPr>
              <w:pStyle w:val="167"/>
              <w:spacing w:line="240" w:lineRule="auto" w:before="0" w:after="0"/>
            </w:pPr>
            <w:r>
              <w:rPr>
                <w:rFonts w:ascii="Times New Roman" w:hAnsi="Times New Roman" w:eastAsia="宋体"/>
              </w:rPr>
              <w:t>95% low</w:t>
            </w:r>
          </w:p>
        </w:tc>
        <w:tc>
          <w:tcPr>
            <w:tcW w:w="1560" w:type="dxa"/>
            <w:tcBorders>
              <w:bottom w:val="single" w:color="000000" w:sz="6" w:space="0"/>
            </w:tcBorders>
          </w:tcPr>
          <w:p>
            <w:pPr>
              <w:pStyle w:val="167"/>
              <w:spacing w:line="240" w:lineRule="auto" w:before="0" w:after="0"/>
            </w:pPr>
            <w:r>
              <w:rPr>
                <w:rFonts w:ascii="Times New Roman" w:hAnsi="Times New Roman" w:eastAsia="宋体"/>
              </w:rPr>
              <w:t>95% high</w:t>
            </w:r>
          </w:p>
        </w:tc>
        <w:tc>
          <w:tcPr>
            <w:tcW w:w="1560" w:type="dxa"/>
            <w:tcBorders>
              <w:bottom w:val="single" w:color="000000" w:sz="6" w:space="0"/>
            </w:tcBorders>
          </w:tcPr>
          <w:p>
            <w:pPr>
              <w:pStyle w:val="167"/>
              <w:spacing w:line="240" w:lineRule="auto" w:before="0" w:after="0"/>
            </w:pPr>
            <w:r>
              <w:rPr>
                <w:rFonts w:ascii="Times New Roman" w:hAnsi="Times New Roman" w:eastAsia="宋体"/>
              </w:rPr>
              <w:t>Top-1 recovery</w:t>
            </w:r>
          </w:p>
        </w:tc>
        <w:tc>
          <w:tcPr>
            <w:tcW w:w="1560" w:type="dxa"/>
            <w:tcBorders>
              <w:bottom w:val="single" w:color="000000" w:sz="6" w:space="0"/>
            </w:tcBorders>
          </w:tcPr>
          <w:p>
            <w:pPr>
              <w:pStyle w:val="167"/>
              <w:spacing w:line="240" w:lineRule="auto" w:before="0" w:after="0"/>
            </w:pPr>
            <w:r>
              <w:rPr>
                <w:rFonts w:ascii="Times New Roman" w:hAnsi="Times New Roman" w:eastAsia="宋体"/>
              </w:rPr>
              <w:t>Observed covered</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bace</w:t>
            </w:r>
          </w:p>
        </w:tc>
        <w:tc>
          <w:tcPr>
            <w:tcW w:w="1560" w:type="dxa"/>
          </w:tcPr>
          <w:p>
            <w:pPr>
              <w:pStyle w:val="167"/>
              <w:spacing w:line="240" w:lineRule="auto" w:before="0" w:after="0"/>
            </w:pPr>
            <w:r>
              <w:rPr>
                <w:rFonts w:ascii="Times New Roman" w:hAnsi="Times New Roman" w:eastAsia="宋体"/>
              </w:rPr>
              <w:t>0.0058</w:t>
            </w:r>
          </w:p>
        </w:tc>
        <w:tc>
          <w:tcPr>
            <w:tcW w:w="1560" w:type="dxa"/>
          </w:tcPr>
          <w:p>
            <w:pPr>
              <w:pStyle w:val="167"/>
              <w:spacing w:line="240" w:lineRule="auto" w:before="0" w:after="0"/>
            </w:pPr>
            <w:r>
              <w:rPr>
                <w:rFonts w:ascii="Times New Roman" w:hAnsi="Times New Roman" w:eastAsia="宋体"/>
              </w:rPr>
              <w:t>0.0033</w:t>
            </w:r>
          </w:p>
        </w:tc>
        <w:tc>
          <w:tcPr>
            <w:tcW w:w="1560" w:type="dxa"/>
          </w:tcPr>
          <w:p>
            <w:pPr>
              <w:pStyle w:val="167"/>
              <w:spacing w:line="240" w:lineRule="auto" w:before="0" w:after="0"/>
            </w:pPr>
            <w:r>
              <w:rPr>
                <w:rFonts w:ascii="Times New Roman" w:hAnsi="Times New Roman" w:eastAsia="宋体"/>
              </w:rPr>
              <w:t>0.0089</w:t>
            </w:r>
          </w:p>
        </w:tc>
        <w:tc>
          <w:tcPr>
            <w:tcW w:w="1560" w:type="dxa"/>
          </w:tcPr>
          <w:p>
            <w:pPr>
              <w:pStyle w:val="167"/>
              <w:spacing w:line="240" w:lineRule="auto" w:before="0" w:after="0"/>
            </w:pPr>
            <w:r>
              <w:rPr>
                <w:rFonts w:ascii="Times New Roman" w:hAnsi="Times New Roman" w:eastAsia="宋体"/>
              </w:rPr>
              <w:t>0.2554</w:t>
            </w:r>
          </w:p>
        </w:tc>
        <w:tc>
          <w:tcPr>
            <w:tcW w:w="1560" w:type="dxa"/>
          </w:tcPr>
          <w:p>
            <w:pPr>
              <w:pStyle w:val="167"/>
              <w:spacing w:line="240" w:lineRule="auto" w:before="0" w:after="0"/>
            </w:pPr>
            <w:r>
              <w:rPr>
                <w:rFonts w:ascii="Times New Roman" w:hAnsi="Times New Roman" w:eastAsia="宋体"/>
              </w:rPr>
              <w:t>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bbbp</w:t>
            </w:r>
          </w:p>
        </w:tc>
        <w:tc>
          <w:tcPr>
            <w:tcW w:w="1560" w:type="dxa"/>
          </w:tcPr>
          <w:p>
            <w:pPr>
              <w:pStyle w:val="167"/>
              <w:spacing w:line="240" w:lineRule="auto" w:before="0" w:after="0"/>
            </w:pPr>
            <w:r>
              <w:rPr>
                <w:rFonts w:ascii="Times New Roman" w:hAnsi="Times New Roman" w:eastAsia="宋体"/>
              </w:rPr>
              <w:t>0.0062</w:t>
            </w:r>
          </w:p>
        </w:tc>
        <w:tc>
          <w:tcPr>
            <w:tcW w:w="1560" w:type="dxa"/>
          </w:tcPr>
          <w:p>
            <w:pPr>
              <w:pStyle w:val="167"/>
              <w:spacing w:line="240" w:lineRule="auto" w:before="0" w:after="0"/>
            </w:pPr>
            <w:r>
              <w:rPr>
                <w:rFonts w:ascii="Times New Roman" w:hAnsi="Times New Roman" w:eastAsia="宋体"/>
              </w:rPr>
              <w:t>0.0037</w:t>
            </w:r>
          </w:p>
        </w:tc>
        <w:tc>
          <w:tcPr>
            <w:tcW w:w="1560" w:type="dxa"/>
          </w:tcPr>
          <w:p>
            <w:pPr>
              <w:pStyle w:val="167"/>
              <w:spacing w:line="240" w:lineRule="auto" w:before="0" w:after="0"/>
            </w:pPr>
            <w:r>
              <w:rPr>
                <w:rFonts w:ascii="Times New Roman" w:hAnsi="Times New Roman" w:eastAsia="宋体"/>
              </w:rPr>
              <w:t>0.0091</w:t>
            </w:r>
          </w:p>
        </w:tc>
        <w:tc>
          <w:tcPr>
            <w:tcW w:w="1560" w:type="dxa"/>
          </w:tcPr>
          <w:p>
            <w:pPr>
              <w:pStyle w:val="167"/>
              <w:spacing w:line="240" w:lineRule="auto" w:before="0" w:after="0"/>
            </w:pPr>
            <w:r>
              <w:rPr>
                <w:rFonts w:ascii="Times New Roman" w:hAnsi="Times New Roman" w:eastAsia="宋体"/>
              </w:rPr>
              <w:t>0.2894</w:t>
            </w:r>
          </w:p>
        </w:tc>
        <w:tc>
          <w:tcPr>
            <w:tcW w:w="1560" w:type="dxa"/>
          </w:tcPr>
          <w:p>
            <w:pPr>
              <w:pStyle w:val="167"/>
              <w:spacing w:line="240" w:lineRule="auto" w:before="0" w:after="0"/>
            </w:pPr>
            <w:r>
              <w:rPr>
                <w:rFonts w:ascii="Times New Roman" w:hAnsi="Times New Roman" w:eastAsia="宋体"/>
              </w:rPr>
              <w:t>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clintox</w:t>
            </w:r>
          </w:p>
        </w:tc>
        <w:tc>
          <w:tcPr>
            <w:tcW w:w="1560" w:type="dxa"/>
          </w:tcPr>
          <w:p>
            <w:pPr>
              <w:pStyle w:val="167"/>
              <w:spacing w:line="240" w:lineRule="auto" w:before="0" w:after="0"/>
            </w:pPr>
            <w:r>
              <w:rPr>
                <w:rFonts w:ascii="Times New Roman" w:hAnsi="Times New Roman" w:eastAsia="宋体"/>
              </w:rPr>
              <w:t>0.0152</w:t>
            </w:r>
          </w:p>
        </w:tc>
        <w:tc>
          <w:tcPr>
            <w:tcW w:w="1560" w:type="dxa"/>
          </w:tcPr>
          <w:p>
            <w:pPr>
              <w:pStyle w:val="167"/>
              <w:spacing w:line="240" w:lineRule="auto" w:before="0" w:after="0"/>
            </w:pPr>
            <w:r>
              <w:rPr>
                <w:rFonts w:ascii="Times New Roman" w:hAnsi="Times New Roman" w:eastAsia="宋体"/>
              </w:rPr>
              <w:t>0.0102</w:t>
            </w:r>
          </w:p>
        </w:tc>
        <w:tc>
          <w:tcPr>
            <w:tcW w:w="1560" w:type="dxa"/>
          </w:tcPr>
          <w:p>
            <w:pPr>
              <w:pStyle w:val="167"/>
              <w:spacing w:line="240" w:lineRule="auto" w:before="0" w:after="0"/>
            </w:pPr>
            <w:r>
              <w:rPr>
                <w:rFonts w:ascii="Times New Roman" w:hAnsi="Times New Roman" w:eastAsia="宋体"/>
              </w:rPr>
              <w:t>0.0205</w:t>
            </w:r>
          </w:p>
        </w:tc>
        <w:tc>
          <w:tcPr>
            <w:tcW w:w="1560" w:type="dxa"/>
          </w:tcPr>
          <w:p>
            <w:pPr>
              <w:pStyle w:val="167"/>
              <w:spacing w:line="240" w:lineRule="auto" w:before="0" w:after="0"/>
            </w:pPr>
            <w:r>
              <w:rPr>
                <w:rFonts w:ascii="Times New Roman" w:hAnsi="Times New Roman" w:eastAsia="宋体"/>
              </w:rPr>
              <w:t>0.2315</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esol</w:t>
            </w:r>
          </w:p>
        </w:tc>
        <w:tc>
          <w:tcPr>
            <w:tcW w:w="1560" w:type="dxa"/>
          </w:tcPr>
          <w:p>
            <w:pPr>
              <w:pStyle w:val="167"/>
              <w:spacing w:line="240" w:lineRule="auto" w:before="0" w:after="0"/>
            </w:pPr>
            <w:r>
              <w:rPr>
                <w:rFonts w:ascii="Times New Roman" w:hAnsi="Times New Roman" w:eastAsia="宋体"/>
              </w:rPr>
              <w:t>0.0516</w:t>
            </w:r>
          </w:p>
        </w:tc>
        <w:tc>
          <w:tcPr>
            <w:tcW w:w="1560" w:type="dxa"/>
          </w:tcPr>
          <w:p>
            <w:pPr>
              <w:pStyle w:val="167"/>
              <w:spacing w:line="240" w:lineRule="auto" w:before="0" w:after="0"/>
            </w:pPr>
            <w:r>
              <w:rPr>
                <w:rFonts w:ascii="Times New Roman" w:hAnsi="Times New Roman" w:eastAsia="宋体"/>
              </w:rPr>
              <w:t>0.0272</w:t>
            </w:r>
          </w:p>
        </w:tc>
        <w:tc>
          <w:tcPr>
            <w:tcW w:w="1560" w:type="dxa"/>
          </w:tcPr>
          <w:p>
            <w:pPr>
              <w:pStyle w:val="167"/>
              <w:spacing w:line="240" w:lineRule="auto" w:before="0" w:after="0"/>
            </w:pPr>
            <w:r>
              <w:rPr>
                <w:rFonts w:ascii="Times New Roman" w:hAnsi="Times New Roman" w:eastAsia="宋体"/>
              </w:rPr>
              <w:t>0.0848</w:t>
            </w:r>
          </w:p>
        </w:tc>
        <w:tc>
          <w:tcPr>
            <w:tcW w:w="1560" w:type="dxa"/>
          </w:tcPr>
          <w:p>
            <w:pPr>
              <w:pStyle w:val="167"/>
              <w:spacing w:line="240" w:lineRule="auto" w:before="0" w:after="0"/>
            </w:pPr>
            <w:r>
              <w:rPr>
                <w:rFonts w:ascii="Times New Roman" w:hAnsi="Times New Roman" w:eastAsia="宋体"/>
              </w:rPr>
              <w:t>0.3612</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freesolv</w:t>
            </w:r>
          </w:p>
        </w:tc>
        <w:tc>
          <w:tcPr>
            <w:tcW w:w="1560" w:type="dxa"/>
          </w:tcPr>
          <w:p>
            <w:pPr>
              <w:pStyle w:val="167"/>
              <w:spacing w:line="240" w:lineRule="auto" w:before="0" w:after="0"/>
            </w:pPr>
            <w:r>
              <w:rPr>
                <w:rFonts w:ascii="Times New Roman" w:hAnsi="Times New Roman" w:eastAsia="宋体"/>
              </w:rPr>
              <w:t>0.1133</w:t>
            </w:r>
          </w:p>
        </w:tc>
        <w:tc>
          <w:tcPr>
            <w:tcW w:w="1560" w:type="dxa"/>
          </w:tcPr>
          <w:p>
            <w:pPr>
              <w:pStyle w:val="167"/>
              <w:spacing w:line="240" w:lineRule="auto" w:before="0" w:after="0"/>
            </w:pPr>
            <w:r>
              <w:rPr>
                <w:rFonts w:ascii="Times New Roman" w:hAnsi="Times New Roman" w:eastAsia="宋体"/>
              </w:rPr>
              <w:t>0.0622</w:t>
            </w:r>
          </w:p>
        </w:tc>
        <w:tc>
          <w:tcPr>
            <w:tcW w:w="1560" w:type="dxa"/>
          </w:tcPr>
          <w:p>
            <w:pPr>
              <w:pStyle w:val="167"/>
              <w:spacing w:line="240" w:lineRule="auto" w:before="0" w:after="0"/>
            </w:pPr>
            <w:r>
              <w:rPr>
                <w:rFonts w:ascii="Times New Roman" w:hAnsi="Times New Roman" w:eastAsia="宋体"/>
              </w:rPr>
              <w:t>0.1762</w:t>
            </w:r>
          </w:p>
        </w:tc>
        <w:tc>
          <w:tcPr>
            <w:tcW w:w="1560" w:type="dxa"/>
          </w:tcPr>
          <w:p>
            <w:pPr>
              <w:pStyle w:val="167"/>
              <w:spacing w:line="240" w:lineRule="auto" w:before="0" w:after="0"/>
            </w:pPr>
            <w:r>
              <w:rPr>
                <w:rFonts w:ascii="Times New Roman" w:hAnsi="Times New Roman" w:eastAsia="宋体"/>
              </w:rPr>
              <w:t>0.3730</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lipo</w:t>
            </w:r>
          </w:p>
        </w:tc>
        <w:tc>
          <w:tcPr>
            <w:tcW w:w="1560" w:type="dxa"/>
          </w:tcPr>
          <w:p>
            <w:pPr>
              <w:pStyle w:val="167"/>
              <w:spacing w:line="240" w:lineRule="auto" w:before="0" w:after="0"/>
            </w:pPr>
            <w:r>
              <w:rPr>
                <w:rFonts w:ascii="Times New Roman" w:hAnsi="Times New Roman" w:eastAsia="宋体"/>
              </w:rPr>
              <w:t>0.0029</w:t>
            </w:r>
          </w:p>
        </w:tc>
        <w:tc>
          <w:tcPr>
            <w:tcW w:w="1560" w:type="dxa"/>
          </w:tcPr>
          <w:p>
            <w:pPr>
              <w:pStyle w:val="167"/>
              <w:spacing w:line="240" w:lineRule="auto" w:before="0" w:after="0"/>
            </w:pPr>
            <w:r>
              <w:rPr>
                <w:rFonts w:ascii="Times New Roman" w:hAnsi="Times New Roman" w:eastAsia="宋体"/>
              </w:rPr>
              <w:t>0.0011</w:t>
            </w:r>
          </w:p>
        </w:tc>
        <w:tc>
          <w:tcPr>
            <w:tcW w:w="1560" w:type="dxa"/>
          </w:tcPr>
          <w:p>
            <w:pPr>
              <w:pStyle w:val="167"/>
              <w:spacing w:line="240" w:lineRule="auto" w:before="0" w:after="0"/>
            </w:pPr>
            <w:r>
              <w:rPr>
                <w:rFonts w:ascii="Times New Roman" w:hAnsi="Times New Roman" w:eastAsia="宋体"/>
              </w:rPr>
              <w:t>0.0056</w:t>
            </w:r>
          </w:p>
        </w:tc>
        <w:tc>
          <w:tcPr>
            <w:tcW w:w="1560" w:type="dxa"/>
          </w:tcPr>
          <w:p>
            <w:pPr>
              <w:pStyle w:val="167"/>
              <w:spacing w:line="240" w:lineRule="auto" w:before="0" w:after="0"/>
            </w:pPr>
            <w:r>
              <w:rPr>
                <w:rFonts w:ascii="Times New Roman" w:hAnsi="Times New Roman" w:eastAsia="宋体"/>
              </w:rPr>
              <w:t>0.6305</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tdc_caco2_wang</w:t>
            </w:r>
          </w:p>
        </w:tc>
        <w:tc>
          <w:tcPr>
            <w:tcW w:w="1560" w:type="dxa"/>
          </w:tcPr>
          <w:p>
            <w:pPr>
              <w:pStyle w:val="167"/>
              <w:spacing w:line="240" w:lineRule="auto" w:before="0" w:after="0"/>
            </w:pPr>
            <w:r>
              <w:rPr>
                <w:rFonts w:ascii="Times New Roman" w:hAnsi="Times New Roman" w:eastAsia="宋体"/>
              </w:rPr>
              <w:t>0.0128</w:t>
            </w:r>
          </w:p>
        </w:tc>
        <w:tc>
          <w:tcPr>
            <w:tcW w:w="1560" w:type="dxa"/>
          </w:tcPr>
          <w:p>
            <w:pPr>
              <w:pStyle w:val="167"/>
              <w:spacing w:line="240" w:lineRule="auto" w:before="0" w:after="0"/>
            </w:pPr>
            <w:r>
              <w:rPr>
                <w:rFonts w:ascii="Times New Roman" w:hAnsi="Times New Roman" w:eastAsia="宋体"/>
              </w:rPr>
              <w:t>0.0074</w:t>
            </w:r>
          </w:p>
        </w:tc>
        <w:tc>
          <w:tcPr>
            <w:tcW w:w="1560" w:type="dxa"/>
          </w:tcPr>
          <w:p>
            <w:pPr>
              <w:pStyle w:val="167"/>
              <w:spacing w:line="240" w:lineRule="auto" w:before="0" w:after="0"/>
            </w:pPr>
            <w:r>
              <w:rPr>
                <w:rFonts w:ascii="Times New Roman" w:hAnsi="Times New Roman" w:eastAsia="宋体"/>
              </w:rPr>
              <w:t>0.0197</w:t>
            </w:r>
          </w:p>
        </w:tc>
        <w:tc>
          <w:tcPr>
            <w:tcW w:w="1560" w:type="dxa"/>
          </w:tcPr>
          <w:p>
            <w:pPr>
              <w:pStyle w:val="167"/>
              <w:spacing w:line="240" w:lineRule="auto" w:before="0" w:after="0"/>
            </w:pPr>
            <w:r>
              <w:rPr>
                <w:rFonts w:ascii="Times New Roman" w:hAnsi="Times New Roman" w:eastAsia="宋体"/>
              </w:rPr>
              <w:t>0.2910</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tdc_hia_hou</w:t>
            </w:r>
          </w:p>
        </w:tc>
        <w:tc>
          <w:tcPr>
            <w:tcW w:w="1560" w:type="dxa"/>
          </w:tcPr>
          <w:p>
            <w:pPr>
              <w:pStyle w:val="167"/>
              <w:spacing w:line="240" w:lineRule="auto" w:before="0" w:after="0"/>
            </w:pPr>
            <w:r>
              <w:rPr>
                <w:rFonts w:ascii="Times New Roman" w:hAnsi="Times New Roman" w:eastAsia="宋体"/>
              </w:rPr>
              <w:t>0.0154</w:t>
            </w:r>
          </w:p>
        </w:tc>
        <w:tc>
          <w:tcPr>
            <w:tcW w:w="1560" w:type="dxa"/>
          </w:tcPr>
          <w:p>
            <w:pPr>
              <w:pStyle w:val="167"/>
              <w:spacing w:line="240" w:lineRule="auto" w:before="0" w:after="0"/>
            </w:pPr>
            <w:r>
              <w:rPr>
                <w:rFonts w:ascii="Times New Roman" w:hAnsi="Times New Roman" w:eastAsia="宋体"/>
              </w:rPr>
              <w:t>0.0100</w:t>
            </w:r>
          </w:p>
        </w:tc>
        <w:tc>
          <w:tcPr>
            <w:tcW w:w="1560" w:type="dxa"/>
          </w:tcPr>
          <w:p>
            <w:pPr>
              <w:pStyle w:val="167"/>
              <w:spacing w:line="240" w:lineRule="auto" w:before="0" w:after="0"/>
            </w:pPr>
            <w:r>
              <w:rPr>
                <w:rFonts w:ascii="Times New Roman" w:hAnsi="Times New Roman" w:eastAsia="宋体"/>
              </w:rPr>
              <w:t>0.0213</w:t>
            </w:r>
          </w:p>
        </w:tc>
        <w:tc>
          <w:tcPr>
            <w:tcW w:w="1560" w:type="dxa"/>
          </w:tcPr>
          <w:p>
            <w:pPr>
              <w:pStyle w:val="167"/>
              <w:spacing w:line="240" w:lineRule="auto" w:before="0" w:after="0"/>
            </w:pPr>
            <w:r>
              <w:rPr>
                <w:rFonts w:ascii="Times New Roman" w:hAnsi="Times New Roman" w:eastAsia="宋体"/>
              </w:rPr>
              <w:t>0.2202</w:t>
            </w:r>
          </w:p>
        </w:tc>
        <w:tc>
          <w:tcPr>
            <w:tcW w:w="1560" w:type="dxa"/>
          </w:tcPr>
          <w:p>
            <w:pPr>
              <w:pStyle w:val="167"/>
              <w:spacing w:line="240" w:lineRule="auto" w:before="0" w:after="0"/>
            </w:pPr>
            <w:r>
              <w:rPr>
                <w:rFonts w:ascii="Times New Roman" w:hAnsi="Times New Roman" w:eastAsia="宋体"/>
              </w:rPr>
              <w:t>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560" w:type="dxa"/>
          </w:tcPr>
          <w:p>
            <w:pPr>
              <w:pStyle w:val="167"/>
              <w:spacing w:line="240" w:lineRule="auto" w:before="0" w:after="0"/>
            </w:pPr>
            <w:r>
              <w:rPr>
                <w:rFonts w:ascii="Times New Roman" w:hAnsi="Times New Roman" w:eastAsia="宋体"/>
              </w:rPr>
              <w:t>tdc_pgp_broccatelli</w:t>
            </w:r>
          </w:p>
        </w:tc>
        <w:tc>
          <w:tcPr>
            <w:tcW w:w="1560" w:type="dxa"/>
          </w:tcPr>
          <w:p>
            <w:pPr>
              <w:pStyle w:val="167"/>
              <w:spacing w:line="240" w:lineRule="auto" w:before="0" w:after="0"/>
            </w:pPr>
            <w:r>
              <w:rPr>
                <w:rFonts w:ascii="Times New Roman" w:hAnsi="Times New Roman" w:eastAsia="宋体"/>
              </w:rPr>
              <w:t>0.0067</w:t>
            </w:r>
          </w:p>
        </w:tc>
        <w:tc>
          <w:tcPr>
            <w:tcW w:w="1560" w:type="dxa"/>
          </w:tcPr>
          <w:p>
            <w:pPr>
              <w:pStyle w:val="167"/>
              <w:spacing w:line="240" w:lineRule="auto" w:before="0" w:after="0"/>
            </w:pPr>
            <w:r>
              <w:rPr>
                <w:rFonts w:ascii="Times New Roman" w:hAnsi="Times New Roman" w:eastAsia="宋体"/>
              </w:rPr>
              <w:t>0.0041</w:t>
            </w:r>
          </w:p>
        </w:tc>
        <w:tc>
          <w:tcPr>
            <w:tcW w:w="1560" w:type="dxa"/>
          </w:tcPr>
          <w:p>
            <w:pPr>
              <w:pStyle w:val="167"/>
              <w:spacing w:line="240" w:lineRule="auto" w:before="0" w:after="0"/>
            </w:pPr>
            <w:r>
              <w:rPr>
                <w:rFonts w:ascii="Times New Roman" w:hAnsi="Times New Roman" w:eastAsia="宋体"/>
              </w:rPr>
              <w:t>0.0099</w:t>
            </w:r>
          </w:p>
        </w:tc>
        <w:tc>
          <w:tcPr>
            <w:tcW w:w="1560" w:type="dxa"/>
          </w:tcPr>
          <w:p>
            <w:pPr>
              <w:pStyle w:val="167"/>
              <w:spacing w:line="240" w:lineRule="auto" w:before="0" w:after="0"/>
            </w:pPr>
            <w:r>
              <w:rPr>
                <w:rFonts w:ascii="Times New Roman" w:hAnsi="Times New Roman" w:eastAsia="宋体"/>
              </w:rPr>
              <w:t>0.2887</w:t>
            </w:r>
          </w:p>
        </w:tc>
        <w:tc>
          <w:tcPr>
            <w:tcW w:w="1560" w:type="dxa"/>
          </w:tcPr>
          <w:p>
            <w:pPr>
              <w:pStyle w:val="167"/>
              <w:spacing w:line="240" w:lineRule="auto" w:before="0" w:after="0"/>
            </w:pPr>
            <w:r>
              <w:rPr>
                <w:rFonts w:ascii="Times New Roman" w:hAnsi="Times New Roman" w:eastAsia="宋体"/>
              </w:rPr>
              <w:t>1</w:t>
            </w:r>
          </w:p>
        </w:tc>
      </w:tr>
    </w:tbl>
    <w:p>
      <w:pPr>
        <w:pStyle w:val="4"/>
        <w:spacing w:line="480" w:lineRule="auto" w:before="0" w:after="0"/>
      </w:pPr>
      <w:r>
        <w:rPr>
          <w:rFonts w:ascii="Times New Roman" w:hAnsi="Times New Roman" w:eastAsia="SimSun"/>
          <w:sz w:val="24"/>
        </w:rPr>
        <w:t>S22.5 Execution and unavailable audits</w:t>
      </w:r>
    </w:p>
    <w:p>
      <w:pPr>
        <w:spacing w:line="480" w:lineRule="auto" w:before="0" w:after="0"/>
      </w:pPr>
      <w:r>
        <w:rPr>
          <w:rFonts w:ascii="Times New Roman" w:hAnsi="Times New Roman" w:eastAsia="SimSun"/>
          <w:sz w:val="24"/>
        </w:rPr>
        <w:t>The unique current ten-split seed lightweight registry comprised 34,560 candidate fits and 8,130.16 recorded candidate-fit seconds. The first-five-split seed current subset contains 17,280 of these fits; it is not added again. Historical five-split seed outputs comprised 17,280 fits and 4,437.95 seconds and remain provenance only. Legacy regression outputs used unseeded GroupKFold and were excluded from the current primary matrix. The maximum legacy-to-current classification difference was 0.000585; the regression split-transition difference reached 1.4217 and is an estimand change, not numerical reproducibility error. Timestamps, independent source-cohort identifiers and exact molecule-level pretraining manifests were unavailable; temporal/source validation was not performed and pretrained-data overlap cannot be excluded.</w:t>
      </w:r>
    </w:p>
    <w:p>
      <w:pPr>
        <w:pStyle w:val="4"/>
        <w:spacing w:line="480" w:lineRule="auto" w:before="0" w:after="0"/>
      </w:pPr>
      <w:r>
        <w:rPr>
          <w:rFonts w:ascii="Times New Roman" w:hAnsi="Times New Roman" w:eastAsia="SimSun"/>
          <w:sz w:val="24"/>
        </w:rPr>
        <w:t>S22.6 Full notation table</w:t>
      </w:r>
    </w:p>
    <w:p>
      <w:pPr>
        <w:spacing w:line="480" w:lineRule="auto" w:before="0" w:after="0"/>
      </w:pPr>
      <w:r>
        <w:rPr>
          <w:rFonts w:ascii="Times New Roman" w:hAnsi="Times New Roman" w:eastAsia="SimSun"/>
          <w:sz w:val="24"/>
        </w:rPr>
        <w:t>The main manuscript retains the 11 symbols needed for direct interpretation. This complete table preserves secondary notation and uses plain-text mathematical runs for cross-software rendering.</w:t>
      </w:r>
    </w:p>
    <w:p>
      <w:pPr>
        <w:pStyle w:val="166"/>
        <w:spacing w:line="240" w:lineRule="auto" w:before="60" w:after="60"/>
      </w:pPr>
      <w:r>
        <w:rPr>
          <w:rFonts w:ascii="Times New Roman" w:hAnsi="Times New Roman" w:eastAsia="SimSun"/>
          <w:sz w:val="20"/>
        </w:rPr>
        <w:t>Table S47. Complete notation used in the main and supplementary analyses.</w:t>
      </w:r>
    </w:p>
    <w:tbl>
      <w:tblPr>
        <w:tblStyle w:val="32"/>
        <w:tblW w:w="0" w:type="auto"/>
        <w:tblInd w:w="0" w:type="dxa"/>
        <w:tblBorders>
          <w:top w:val="single" w:sz="8" w:color="000000"/>
          <w:left w:val="nil" w:sz="0" w:color="000000"/>
          <w:bottom w:val="single" w:sz="8" w:color="000000"/>
          <w:right w:val="nil" w:sz="0" w:color="000000"/>
          <w:insideH w:val="nil" w:sz="0" w:color="000000"/>
          <w:insideV w:val="nil" w:sz="0" w:color="000000"/>
        </w:tblBorders>
        <w:tblLayout w:type="fixed"/>
        <w:tblCellMar>
          <w:top w:w="0" w:type="dxa"/>
          <w:left w:w="108" w:type="dxa"/>
          <w:bottom w:w="0" w:type="dxa"/>
          <w:right w:w="108" w:type="dxa"/>
        </w:tblCellMar>
      </w:tblPr>
      <w:tblGrid>
        <w:gridCol w:w="2267"/>
        <w:gridCol w:w="6973"/>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2268" w:type="dxa"/>
            <w:tcBorders>
              <w:bottom w:val="single" w:sz="6" w:color="000000"/>
            </w:tcBorders>
            <w:vAlign w:val="center"/>
          </w:tcPr>
          <w:p>
            <w:pPr>
              <w:pStyle w:val="167"/>
              <w:keepLines/>
              <w:spacing w:line="240" w:lineRule="auto" w:before="0" w:after="0"/>
            </w:pPr>
            <w:r>
              <w:rPr>
                <w:rFonts w:eastAsia="宋体" w:cs="Times New Roman" w:ascii="Times New Roman" w:hAnsi="Times New Roman"/>
                <w:b/>
              </w:rPr>
              <w:t>Symbol</w:t>
            </w:r>
          </w:p>
        </w:tc>
        <w:tc>
          <w:tcPr>
            <w:tcW w:w="6973" w:type="dxa"/>
            <w:tcBorders>
              <w:bottom w:val="single" w:sz="6" w:color="000000"/>
            </w:tcBorders>
            <w:vAlign w:val="center"/>
          </w:tcPr>
          <w:p>
            <w:pPr>
              <w:pStyle w:val="167"/>
              <w:keepLines/>
              <w:spacing w:line="240" w:lineRule="auto" w:before="0" w:after="0"/>
            </w:pPr>
            <w:r>
              <w:rPr>
                <w:rFonts w:eastAsia="宋体" w:cs="Times New Roman" w:ascii="Times New Roman" w:hAnsi="Times New Roman"/>
                <w:b/>
              </w:rPr>
              <w:t>Definition</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S_main</w:t>
            </w:r>
          </w:p>
        </w:tc>
        <w:tc>
          <w:tcPr>
            <w:tcW w:w="6973" w:type="dxa"/>
            <w:vAlign w:val="center"/>
          </w:tcPr>
          <w:p>
            <w:pPr>
              <w:spacing w:line="240" w:lineRule="auto" w:before="0" w:after="0"/>
            </w:pPr>
            <w:r>
              <w:rPr>
                <w:rFonts w:eastAsia="宋体" w:cs="Times New Roman" w:ascii="Times New Roman" w:hAnsi="Times New Roman"/>
              </w:rPr>
              <w:t>number of primary split seeds (10)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S_secondary</w:t>
            </w:r>
          </w:p>
        </w:tc>
        <w:tc>
          <w:tcPr>
            <w:tcW w:w="6973" w:type="dxa"/>
            <w:vAlign w:val="center"/>
          </w:tcPr>
          <w:p>
            <w:pPr>
              <w:spacing w:line="240" w:lineRule="auto" w:before="0" w:after="0"/>
            </w:pPr>
            <w:r>
              <w:rPr>
                <w:rFonts w:eastAsia="宋体" w:cs="Times New Roman" w:ascii="Times New Roman" w:hAnsi="Times New Roman"/>
              </w:rPr>
              <w:t>number of seeds in explicitly labelled secondary analyses (5)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s</w:t>
            </w:r>
          </w:p>
        </w:tc>
        <w:tc>
          <w:tcPr>
            <w:tcW w:w="6973" w:type="dxa"/>
            <w:vAlign w:val="center"/>
          </w:tcPr>
          <w:p>
            <w:pPr>
              <w:spacing w:line="240" w:lineRule="auto" w:before="0" w:after="0"/>
            </w:pPr>
            <w:r>
              <w:rPr>
                <w:rFonts w:eastAsia="宋体" w:cs="Times New Roman" w:ascii="Times New Roman" w:hAnsi="Times New Roman"/>
              </w:rPr>
              <w:t>split seed</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F</w:t>
            </w:r>
          </w:p>
        </w:tc>
        <w:tc>
          <w:tcPr>
            <w:tcW w:w="6973" w:type="dxa"/>
            <w:vAlign w:val="center"/>
          </w:tcPr>
          <w:p>
            <w:pPr>
              <w:spacing w:line="240" w:lineRule="auto" w:before="0" w:after="0"/>
            </w:pPr>
            <w:r>
              <w:rPr>
                <w:rFonts w:eastAsia="宋体" w:cs="Times New Roman" w:ascii="Times New Roman" w:hAnsi="Times New Roman"/>
              </w:rPr>
              <w:t>number of outer folds per seed (3)</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f</w:t>
            </w:r>
          </w:p>
        </w:tc>
        <w:tc>
          <w:tcPr>
            <w:tcW w:w="6973" w:type="dxa"/>
            <w:vAlign w:val="center"/>
          </w:tcPr>
          <w:p>
            <w:pPr>
              <w:spacing w:line="240" w:lineRule="auto" w:before="0" w:after="0"/>
            </w:pPr>
            <w:r>
              <w:rPr>
                <w:rFonts w:eastAsia="宋体" w:cs="Times New Roman" w:ascii="Times New Roman" w:hAnsi="Times New Roman"/>
              </w:rPr>
              <w:t>outer fold</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u = (s, f)</w:t>
            </w:r>
          </w:p>
        </w:tc>
        <w:tc>
          <w:tcPr>
            <w:tcW w:w="6973" w:type="dxa"/>
            <w:vAlign w:val="center"/>
          </w:tcPr>
          <w:p>
            <w:pPr>
              <w:spacing w:line="240" w:lineRule="auto" w:before="0" w:after="0"/>
            </w:pPr>
            <w:r>
              <w:rPr>
                <w:rFonts w:eastAsia="宋体" w:cs="Times New Roman" w:ascii="Times New Roman" w:hAnsi="Times New Roman"/>
              </w:rPr>
              <w:t>outer audit unit</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U_−s</w:t>
            </w:r>
          </w:p>
        </w:tc>
        <w:tc>
          <w:tcPr>
            <w:tcW w:w="6973" w:type="dxa"/>
            <w:vAlign w:val="center"/>
          </w:tcPr>
          <w:p>
            <w:pPr>
              <w:spacing w:line="240" w:lineRule="auto" w:before="0" w:after="0"/>
            </w:pPr>
            <w:r>
              <w:rPr>
                <w:rFonts w:eastAsia="宋体" w:cs="Times New Roman" w:ascii="Times New Roman" w:hAnsi="Times New Roman"/>
              </w:rPr>
              <w:t>outer audit units from seeds other than held-out seed 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N_−s</w:t>
            </w:r>
          </w:p>
        </w:tc>
        <w:tc>
          <w:tcPr>
            <w:tcW w:w="6973" w:type="dxa"/>
            <w:vAlign w:val="center"/>
          </w:tcPr>
          <w:p>
            <w:pPr>
              <w:spacing w:line="240" w:lineRule="auto" w:before="0" w:after="0"/>
            </w:pPr>
            <w:r>
              <w:rPr>
                <w:rFonts w:eastAsia="宋体" w:cs="Times New Roman" w:ascii="Times New Roman" w:hAnsi="Times New Roman"/>
              </w:rPr>
              <w:t>number of units in U_-s; N_-s = |U_-s|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j</w:t>
            </w:r>
          </w:p>
        </w:tc>
        <w:tc>
          <w:tcPr>
            <w:tcW w:w="6973" w:type="dxa"/>
            <w:vAlign w:val="center"/>
          </w:tcPr>
          <w:p>
            <w:pPr>
              <w:spacing w:line="240" w:lineRule="auto" w:before="0" w:after="0"/>
            </w:pPr>
            <w:r>
              <w:rPr>
                <w:rFonts w:eastAsia="宋体" w:cs="Times New Roman" w:ascii="Times New Roman" w:hAnsi="Times New Roman"/>
              </w:rPr>
              <w:t>candidate</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K</w:t>
            </w:r>
          </w:p>
        </w:tc>
        <w:tc>
          <w:tcPr>
            <w:tcW w:w="6973" w:type="dxa"/>
            <w:vAlign w:val="center"/>
          </w:tcPr>
          <w:p>
            <w:pPr>
              <w:spacing w:line="240" w:lineRule="auto" w:before="0" w:after="0"/>
            </w:pPr>
            <w:r>
              <w:rPr>
                <w:rFonts w:eastAsia="宋体" w:cs="Times New Roman" w:ascii="Times New Roman" w:hAnsi="Times New Roman"/>
              </w:rPr>
              <w:t>candidate count</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C_K</w:t>
            </w:r>
          </w:p>
        </w:tc>
        <w:tc>
          <w:tcPr>
            <w:tcW w:w="6973" w:type="dxa"/>
            <w:vAlign w:val="center"/>
          </w:tcPr>
          <w:p>
            <w:pPr>
              <w:spacing w:line="240" w:lineRule="auto" w:before="0" w:after="0"/>
            </w:pPr>
            <w:r>
              <w:rPr>
                <w:rFonts w:eastAsia="宋体" w:cs="Times New Roman" w:ascii="Times New Roman" w:hAnsi="Times New Roman"/>
              </w:rPr>
              <w:t>eligible registered candidate prefix at size K</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V(u, j)</w:t>
            </w:r>
          </w:p>
        </w:tc>
        <w:tc>
          <w:tcPr>
            <w:tcW w:w="6973" w:type="dxa"/>
            <w:vAlign w:val="center"/>
          </w:tcPr>
          <w:p>
            <w:pPr>
              <w:spacing w:line="240" w:lineRule="auto" w:before="0" w:after="0"/>
            </w:pPr>
            <w:r>
              <w:rPr>
                <w:rFonts w:eastAsia="宋体" w:cs="Times New Roman" w:ascii="Times New Roman" w:hAnsi="Times New Roman"/>
              </w:rPr>
              <w:t>inner-validation utility</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A(u, j)</w:t>
            </w:r>
          </w:p>
        </w:tc>
        <w:tc>
          <w:tcPr>
            <w:tcW w:w="6973" w:type="dxa"/>
            <w:vAlign w:val="center"/>
          </w:tcPr>
          <w:p>
            <w:pPr>
              <w:spacing w:line="240" w:lineRule="auto" w:before="0" w:after="0"/>
            </w:pPr>
            <w:r>
              <w:rPr>
                <w:rFonts w:eastAsia="宋体" w:cs="Times New Roman" w:ascii="Times New Roman" w:hAnsi="Times New Roman"/>
              </w:rPr>
              <w:t>outer-audit utility (negative RMSE direction for regression)</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τ</w:t>
            </w:r>
          </w:p>
        </w:tc>
        <w:tc>
          <w:tcPr>
            <w:tcW w:w="6973" w:type="dxa"/>
            <w:vAlign w:val="center"/>
          </w:tcPr>
          <w:p>
            <w:pPr>
              <w:spacing w:line="240" w:lineRule="auto" w:before="0" w:after="0"/>
            </w:pPr>
            <w:r>
              <w:rPr>
                <w:rFonts w:eastAsia="宋体" w:cs="Times New Roman" w:ascii="Times New Roman" w:hAnsi="Times New Roman"/>
              </w:rPr>
              <w:t>practical-equivalence reporting tolerance</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ε_num = 10⁻¹²</w:t>
            </w:r>
          </w:p>
        </w:tc>
        <w:tc>
          <w:tcPr>
            <w:tcW w:w="6973" w:type="dxa"/>
            <w:vAlign w:val="center"/>
          </w:tcPr>
          <w:p>
            <w:pPr>
              <w:spacing w:line="240" w:lineRule="auto" w:before="0" w:after="0"/>
            </w:pPr>
            <w:r>
              <w:rPr>
                <w:rFonts w:ascii="Times New Roman" w:hAnsi="Times New Roman" w:eastAsia="宋体"/>
              </w:rPr>
              <w:t>numerical-stability constant, fixed at ε_num = 10⁻¹²</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ĵ_u(K)</w:t>
            </w:r>
          </w:p>
        </w:tc>
        <w:tc>
          <w:tcPr>
            <w:tcW w:w="6973" w:type="dxa"/>
            <w:vAlign w:val="center"/>
          </w:tcPr>
          <w:p>
            <w:pPr>
              <w:spacing w:line="240" w:lineRule="auto" w:before="0" w:after="0"/>
            </w:pPr>
            <w:r>
              <w:rPr>
                <w:rFonts w:eastAsia="宋体" w:cs="Times New Roman" w:ascii="Times New Roman" w:hAnsi="Times New Roman"/>
              </w:rPr>
              <w:t>validation-selected candidate at size K</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j_ref^inv(−s)</w:t>
            </w:r>
          </w:p>
        </w:tc>
        <w:tc>
          <w:tcPr>
            <w:tcW w:w="6973" w:type="dxa"/>
            <w:vAlign w:val="center"/>
          </w:tcPr>
          <w:p>
            <w:pPr>
              <w:spacing w:line="240" w:lineRule="auto" w:before="0" w:after="0"/>
            </w:pPr>
            <w:r>
              <w:rPr>
                <w:rFonts w:eastAsia="宋体" w:cs="Times New Roman" w:ascii="Times New Roman" w:hAnsi="Times New Roman"/>
              </w:rPr>
              <w:t>K-invariant full-registry reference selected without seed 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j_ref^dep(−s, K)</w:t>
            </w:r>
          </w:p>
        </w:tc>
        <w:tc>
          <w:tcPr>
            <w:tcW w:w="6973" w:type="dxa"/>
            <w:vAlign w:val="center"/>
          </w:tcPr>
          <w:p>
            <w:pPr>
              <w:spacing w:line="240" w:lineRule="auto" w:before="0" w:after="0"/>
            </w:pPr>
            <w:r>
              <w:rPr>
                <w:rFonts w:eastAsia="宋体" w:cs="Times New Roman" w:ascii="Times New Roman" w:hAnsi="Times New Roman"/>
              </w:rPr>
              <w:t>K-dependent eligible-prefix reference selected without seed 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G_inv(u, K)</w:t>
            </w:r>
          </w:p>
        </w:tc>
        <w:tc>
          <w:tcPr>
            <w:tcW w:w="6973" w:type="dxa"/>
            <w:vAlign w:val="center"/>
          </w:tcPr>
          <w:p>
            <w:pPr>
              <w:spacing w:line="240" w:lineRule="auto" w:before="0" w:after="0"/>
            </w:pPr>
            <w:r>
              <w:rPr>
                <w:rFonts w:eastAsia="宋体" w:cs="Times New Roman" w:ascii="Times New Roman" w:hAnsi="Times New Roman"/>
              </w:rPr>
              <w:t>K-invariant full-registry completion gap</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G_dep(u, K)</w:t>
            </w:r>
          </w:p>
        </w:tc>
        <w:tc>
          <w:tcPr>
            <w:tcW w:w="6973" w:type="dxa"/>
            <w:vAlign w:val="center"/>
          </w:tcPr>
          <w:p>
            <w:pPr>
              <w:spacing w:line="240" w:lineRule="auto" w:before="0" w:after="0"/>
            </w:pPr>
            <w:r>
              <w:rPr>
                <w:rFonts w:eastAsia="宋体" w:cs="Times New Roman" w:ascii="Times New Roman" w:hAnsi="Times New Roman"/>
              </w:rPr>
              <w:t>K-dependent within-prefix selection gap</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G_same(u, K)</w:t>
            </w:r>
          </w:p>
        </w:tc>
        <w:tc>
          <w:tcPr>
            <w:tcW w:w="6973" w:type="dxa"/>
            <w:vAlign w:val="center"/>
          </w:tcPr>
          <w:p>
            <w:pPr>
              <w:spacing w:line="240" w:lineRule="auto" w:before="0" w:after="0"/>
            </w:pPr>
            <w:r>
              <w:rPr>
                <w:rFonts w:eastAsia="宋体" w:cs="Times New Roman" w:ascii="Times New Roman" w:hAnsi="Times New Roman"/>
              </w:rPr>
              <w:t>same-fold finite-set opportunity gap</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G_avail(u, K)</w:t>
            </w:r>
          </w:p>
        </w:tc>
        <w:tc>
          <w:tcPr>
            <w:tcW w:w="6973" w:type="dxa"/>
            <w:vAlign w:val="center"/>
          </w:tcPr>
          <w:p>
            <w:pPr>
              <w:spacing w:line="240" w:lineRule="auto" w:before="0" w:after="0"/>
            </w:pPr>
            <w:r>
              <w:rPr>
                <w:rFonts w:ascii="Times New Roman" w:hAnsi="Times New Roman" w:eastAsia="宋体"/>
              </w:rPr>
              <w:t>availability component; G_inv = G_avail + G_dep</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Ḡ_q,e,s(K)</w:t>
            </w:r>
          </w:p>
        </w:tc>
        <w:tc>
          <w:tcPr>
            <w:tcW w:w="6973" w:type="dxa"/>
            <w:vAlign w:val="center"/>
          </w:tcPr>
          <w:p>
            <w:pPr>
              <w:spacing w:line="240" w:lineRule="auto" w:before="0" w:after="0"/>
            </w:pPr>
            <w:r>
              <w:rPr>
                <w:rFonts w:ascii="Times New Roman" w:hAnsi="Times New Roman" w:eastAsia="宋体"/>
              </w:rPr>
              <w:t>seed-level mean of G_q across the three outer folds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Δ_q(e)</w:t>
            </w:r>
          </w:p>
        </w:tc>
        <w:tc>
          <w:tcPr>
            <w:tcW w:w="6973" w:type="dxa"/>
            <w:vAlign w:val="center"/>
          </w:tcPr>
          <w:p>
            <w:pPr>
              <w:spacing w:line="240" w:lineRule="auto" w:before="0" w:after="0"/>
            </w:pPr>
            <w:r>
              <w:rPr>
                <w:rFonts w:ascii="Times New Roman" w:hAnsi="Times New Roman" w:eastAsia="宋体"/>
              </w:rPr>
              <w:t>endpoint-level K = 32 minus K = 4 contrast averaged over split-seed blocks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Σ̂</w:t>
            </w:r>
          </w:p>
        </w:tc>
        <w:tc>
          <w:tcPr>
            <w:tcW w:w="6973" w:type="dxa"/>
            <w:vAlign w:val="center"/>
          </w:tcPr>
          <w:p>
            <w:pPr>
              <w:spacing w:line="240" w:lineRule="auto" w:before="0" w:after="0"/>
            </w:pPr>
            <w:r>
              <w:rPr>
                <w:rFonts w:eastAsia="宋体" w:cs="Times New Roman" w:ascii="Times New Roman" w:hAnsi="Times New Roman"/>
              </w:rPr>
              <w:t>sample covariance matrix in Ledoit-Wolf shrinkage</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λ̃_i</w:t>
            </w:r>
          </w:p>
        </w:tc>
        <w:tc>
          <w:tcPr>
            <w:tcW w:w="6973" w:type="dxa"/>
            <w:vAlign w:val="center"/>
          </w:tcPr>
          <w:p>
            <w:pPr>
              <w:spacing w:line="240" w:lineRule="auto" w:before="0" w:after="0"/>
            </w:pPr>
            <w:r>
              <w:rPr>
                <w:rFonts w:eastAsia="宋体" w:cs="Times New Roman" w:ascii="Times New Roman" w:hAnsi="Times New Roman"/>
              </w:rPr>
              <w:t>non-negative shrinkage-correlation eigenvalue</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p_i</w:t>
            </w:r>
          </w:p>
        </w:tc>
        <w:tc>
          <w:tcPr>
            <w:tcW w:w="6973" w:type="dxa"/>
            <w:vAlign w:val="center"/>
          </w:tcPr>
          <w:p>
            <w:pPr>
              <w:spacing w:line="240" w:lineRule="auto" w:before="0" w:after="0"/>
            </w:pPr>
            <w:r>
              <w:rPr>
                <w:rFonts w:eastAsia="宋体" w:cs="Times New Roman" w:ascii="Times New Roman" w:hAnsi="Times New Roman"/>
              </w:rPr>
              <w:t>unit-sum eigenvalue proportion</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68" w:type="dxa"/>
            <w:vAlign w:val="center"/>
          </w:tcPr>
          <w:p>
            <w:pPr>
              <w:spacing w:line="240" w:lineRule="auto" w:before="0" w:after="0"/>
              <w:ind w:firstLine="0"/>
              <w:jc w:val="center"/>
            </w:pPr>
            <w:r>
              <w:rPr>
                <w:rFonts w:ascii="Times New Roman" w:hAnsi="Times New Roman" w:eastAsia="宋体"/>
              </w:rPr>
            </w:r>
            <w:r>
              <w:rPr>
                <w:rFonts w:ascii="Times New Roman" w:hAnsi="Times New Roman" w:eastAsia="宋体"/>
                <w:b w:val="0"/>
                <w:sz w:val="18"/>
              </w:rPr>
              <w:t>π_j</w:t>
            </w:r>
          </w:p>
        </w:tc>
        <w:tc>
          <w:tcPr>
            <w:tcW w:w="6973" w:type="dxa"/>
            <w:vAlign w:val="center"/>
          </w:tcPr>
          <w:p>
            <w:pPr>
              <w:spacing w:line="240" w:lineRule="auto" w:before="0" w:after="0"/>
            </w:pPr>
            <w:r>
              <w:rPr>
                <w:rFonts w:eastAsia="宋体" w:cs="Times New Roman" w:ascii="Times New Roman" w:hAnsi="Times New Roman"/>
              </w:rPr>
              <w:t>selection proportion for candidate j</w:t>
            </w:r>
          </w:p>
        </w:tc>
      </w:tr>
    </w:tbl>
    <w:p>
      <w:pPr>
        <w:spacing w:line="480" w:lineRule="auto" w:before="0" w:after="0"/>
      </w:pPr>
    </w:p>
    <w:p>
      <w:pPr>
        <w:pStyle w:val="3"/>
        <w:spacing w:line="480" w:lineRule="auto" w:before="0" w:after="0"/>
      </w:pPr>
      <w:r>
        <w:rPr>
          <w:rFonts w:ascii="Times New Roman" w:hAnsi="Times New Roman" w:eastAsia="SimSun"/>
          <w:sz w:val="24"/>
        </w:rPr>
        <w:t>S23 Full mathematical definitions moved from the main Methods</w:t>
      </w:r>
    </w:p>
    <w:p>
      <w:pPr>
        <w:spacing w:line="480" w:lineRule="auto" w:before="0" w:after="0"/>
      </w:pPr>
      <w:r>
        <w:rPr>
          <w:rFonts w:ascii="Times New Roman" w:hAnsi="Times New Roman" w:eastAsia="SimSun"/>
          <w:sz w:val="24"/>
        </w:rPr>
        <w:t>The following native Word equations retain the complete estimands. Combined definitions were split into Equations (5a)–(5b), (17a)–(17b) and (18a)–(18b) to prevent crowding in Word, WPS, LibreOffice and PDF.</w:t>
      </w:r>
    </w:p>
    <w:p>
      <w:pPr>
        <w:pStyle w:val="5"/>
        <w:spacing w:after="0" w:line="480" w:lineRule="auto" w:before="0"/>
      </w:pPr>
      <w:r>
        <w:rPr>
          <w:rFonts w:ascii="Times New Roman" w:hAnsi="Times New Roman" w:eastAsia="SimSun"/>
          <w:sz w:val="24"/>
        </w:rPr>
        <w:t>Selection and ranking estimands</w:t>
      </w:r>
    </w:p>
    <w:p>
      <w:pPr>
        <w:spacing w:line="480" w:lineRule="auto" w:before="0" w:after="0"/>
      </w:pPr>
      <w:r>
        <w:rPr>
          <w:rFonts w:ascii="Times New Roman" w:hAnsi="Times New Roman" w:eastAsia="SimSun"/>
          <w:sz w:val="24"/>
        </w:rPr>
        <w:t xml:space="preserve">Here </w:t>
      </w:r>
      <m:oMath>
        <m:sSub>
          <m:sSubPr/>
          <m:e>
            <m:r>
              <m:rPr/>
              <m:t>r</m:t>
            </m:r>
          </m:e>
          <m:sub>
            <m:r>
              <m:rPr/>
              <m:t>u</m:t>
            </m:r>
          </m:sub>
        </m:sSub>
      </m:oMath>
      <w:r>
        <w:rPr>
          <w:rFonts w:ascii="Times New Roman" w:hAnsi="Times New Roman" w:eastAsia="SimSun"/>
          <w:sz w:val="24"/>
        </w:rPr>
        <w:t xml:space="preserve"> is the inner-validation rank of the outer finite-audit best candidate, q is a rank cutoff (q = 3), I is the indicator function and </w:t>
      </w:r>
      <m:oMath>
        <m:sSub>
          <m:sSubPr/>
          <m:e>
            <m:r>
              <m:rPr/>
              <m:t>H</m:t>
            </m:r>
          </m:e>
          <m:sub>
            <m:r>
              <m:rPr/>
              <m:t>K</m:t>
            </m:r>
          </m:sub>
        </m:sSub>
      </m:oMath>
      <w:r>
        <w:rPr>
          <w:rFonts w:ascii="Times New Roman" w:hAnsi="Times New Roman" w:eastAsia="SimSun"/>
          <w:sz w:val="24"/>
        </w:rPr>
        <w:t xml:space="preserve"> is the Kth harmonic number.</w:t>
      </w:r>
    </w:p>
    <w:p>
      <w:pPr>
        <w:spacing w:line="480" w:lineRule="auto" w:before="0" w:after="0"/>
      </w:pPr>
      <w:r>
        <w:rPr>
          <w:rFonts w:ascii="Times New Roman" w:hAnsi="Times New Roman" w:eastAsia="SimSun"/>
          <w:sz w:val="24"/>
        </w:rPr>
        <w:t>Equations (1)–(4), (5a)–(5b) and (6) define candidate selection, finite-audit selection loss and chance-adjusted ranking. Equations (7)–(14) define the validation-selected candidate, K-invariant and K-dependent references, the four gaps, their availability decomposition and the endpoint-level contrast. Equations (15)–(16), (17a)–(17b) and (18a)–(18b) define matrix transformations and effective ranks; Equations (19a)–(22b) define composition contrasts, normalized gains and selection entropy.</w:t>
      </w:r>
    </w:p>
    <w:p>
      <w:pPr>
        <w:tabs>
          <w:tab w:val="center" w:pos="4649"/>
          <w:tab w:val="right" w:pos="9298"/>
        </w:tabs>
        <w:spacing w:before="0" w:after="0" w:line="240" w:lineRule="auto"/>
      </w:pPr>
      <w:r>
        <w:tab/>
      </w:r>
      <m:oMath>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V(u,j)</m:t>
        </m:r>
      </m:oMath>
      <w:r>
        <w:tab/>
      </w:r>
      <w:r>
        <w:rPr>
          <w:rFonts w:ascii="Times New Roman" w:hAnsi="Times New Roman"/>
          <w:sz w:val="22"/>
        </w:rPr>
        <w:t>(1)</w:t>
      </w:r>
    </w:p>
    <w:p>
      <w:pPr>
        <w:tabs>
          <w:tab w:val="center" w:pos="4649"/>
          <w:tab w:val="right" w:pos="9298"/>
        </w:tabs>
        <w:spacing w:before="0" w:after="0" w:line="240" w:lineRule="auto"/>
      </w:pPr>
      <w:r>
        <w:tab/>
      </w:r>
      <m:oMath>
        <m:sSub>
          <m:e>
            <m:r>
              <w:rPr>
                <w:rFonts w:ascii="Cambria Math" w:hAnsi="Cambria Math"/>
                <w:sz w:val="22"/>
              </w:rPr>
              <m:t>j</m:t>
            </m:r>
          </m:e>
          <m:sub>
            <m:r>
              <m:rPr>
                <m:sty m:val="p"/>
              </m:rPr>
              <w:rPr>
                <w:rFonts w:ascii="Cambria Math" w:hAnsi="Cambria Math"/>
                <w:sz w:val="22"/>
              </w:rPr>
              <m:t>best</m:t>
            </m:r>
            <m:r>
              <w:rPr>
                <w:rFonts w:ascii="Cambria Math" w:hAnsi="Cambria Math"/>
                <w:sz w:val="22"/>
              </w:rPr>
              <m:t>,</m:t>
            </m:r>
            <m:r>
              <w:rPr>
                <w:rFonts w:ascii="Cambria Math" w:hAnsi="Cambria Math"/>
                <w:sz w:val="22"/>
              </w:rPr>
              <m:t>u</m:t>
            </m:r>
          </m:sub>
        </m:sSub>
        <m:r>
          <w:rPr>
            <w:rFonts w:ascii="Cambria Math" w:hAnsi="Cambria Math"/>
            <w:sz w:val="22"/>
          </w:rPr>
          <m:t>(K)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A(u,j)</m:t>
        </m:r>
      </m:oMath>
      <w:r>
        <w:tab/>
      </w:r>
      <w:r>
        <w:rPr>
          <w:rFonts w:ascii="Times New Roman" w:hAnsi="Times New Roman"/>
          <w:sz w:val="22"/>
        </w:rPr>
        <w:t>(2)</w:t>
      </w:r>
    </w:p>
    <w:p>
      <w:pPr>
        <w:tabs>
          <w:tab w:val="center" w:pos="4649"/>
          <w:tab w:val="right" w:pos="9298"/>
        </w:tabs>
        <w:spacing w:before="0" w:after="0" w:line="240" w:lineRule="auto"/>
      </w:pPr>
      <w:r>
        <w:tab/>
      </w:r>
      <m:oMath>
        <m:sSub>
          <m:e>
            <m:r>
              <w:rPr>
                <w:rFonts w:ascii="Cambria Math" w:hAnsi="Cambria Math"/>
                <w:sz w:val="22"/>
              </w:rPr>
              <m:t>L</m:t>
            </m:r>
          </m:e>
          <m:sub>
            <m:r>
              <w:rPr>
                <w:rFonts w:ascii="Cambria Math" w:hAnsi="Cambria Math"/>
                <w:sz w:val="22"/>
              </w:rPr>
              <m:t>u</m:t>
            </m:r>
          </m:sub>
        </m:sSub>
        <m:r>
          <w:rPr>
            <w:rFonts w:ascii="Cambria Math" w:hAnsi="Cambria Math"/>
            <w:sz w:val="22"/>
          </w:rPr>
          <m:t>(K) = A(u,</m:t>
        </m:r>
        <m:sSub>
          <m:e>
            <m:r>
              <w:rPr>
                <w:rFonts w:ascii="Cambria Math" w:hAnsi="Cambria Math"/>
                <w:sz w:val="22"/>
              </w:rPr>
              <m:t>j</m:t>
            </m:r>
          </m:e>
          <m:sub>
            <m:r>
              <m:rPr>
                <m:sty m:val="p"/>
              </m:rPr>
              <w:rPr>
                <w:rFonts w:ascii="Cambria Math" w:hAnsi="Cambria Math"/>
                <w:sz w:val="22"/>
              </w:rPr>
              <m:t>best</m:t>
            </m:r>
            <m:r>
              <w:rPr>
                <w:rFonts w:ascii="Cambria Math" w:hAnsi="Cambria Math"/>
                <w:sz w:val="22"/>
              </w:rPr>
              <m:t>,</m:t>
            </m:r>
            <m:r>
              <w:rPr>
                <w:rFonts w:ascii="Cambria Math" w:hAnsi="Cambria Math"/>
                <w:sz w:val="22"/>
              </w:rPr>
              <m:t>u</m:t>
            </m:r>
          </m:sub>
        </m:sSub>
        <m:r>
          <w:rPr>
            <w:rFonts w:ascii="Cambria Math" w:hAnsi="Cambria Math"/>
            <w:sz w:val="22"/>
          </w:rPr>
          <m:t>(K))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r>
        <w:tab/>
      </w:r>
      <w:r>
        <w:rPr>
          <w:rFonts w:ascii="Times New Roman" w:hAnsi="Times New Roman"/>
          <w:sz w:val="22"/>
        </w:rPr>
        <w:t>(3)</w:t>
      </w:r>
    </w:p>
    <w:p>
      <w:pPr>
        <w:tabs>
          <w:tab w:val="center" w:pos="4649"/>
          <w:tab w:val="right" w:pos="9298"/>
        </w:tabs>
        <w:spacing w:before="0" w:after="0" w:line="240" w:lineRule="auto"/>
      </w:pPr>
      <w:r>
        <w:tab/>
      </w:r>
      <m:oMath>
        <m:sSub>
          <m:e>
            <m:acc>
              <m:accPr>
                <m:chr m:val="̃"/>
              </m:accPr>
              <m:e>
                <m:r>
                  <w:rPr>
                    <w:rFonts w:ascii="Cambria Math" w:hAnsi="Cambria Math"/>
                    <w:sz w:val="22"/>
                  </w:rPr>
                  <m:t>L</m:t>
                </m:r>
              </m:e>
            </m:acc>
          </m:e>
          <m:sub>
            <m:r>
              <w:rPr>
                <w:rFonts w:ascii="Cambria Math" w:hAnsi="Cambria Math"/>
                <w:sz w:val="22"/>
              </w:rPr>
              <m:t>u</m:t>
            </m:r>
          </m:sub>
        </m:sSub>
        <m:r>
          <w:rPr>
            <w:rFonts w:ascii="Cambria Math" w:hAnsi="Cambria Math"/>
            <w:sz w:val="22"/>
          </w:rPr>
          <m:t>(K) = </m:t>
        </m:r>
        <m:f>
          <m:num>
            <m:sSub>
              <m:e>
                <m:r>
                  <w:rPr>
                    <w:rFonts w:ascii="Cambria Math" w:hAnsi="Cambria Math"/>
                    <w:sz w:val="22"/>
                  </w:rPr>
                  <m:t>L</m:t>
                </m:r>
              </m:e>
              <m:sub>
                <m:r>
                  <w:rPr>
                    <w:rFonts w:ascii="Cambria Math" w:hAnsi="Cambria Math"/>
                    <w:sz w:val="22"/>
                  </w:rPr>
                  <m:t>u</m:t>
                </m:r>
              </m:sub>
            </m:sSub>
            <m:r>
              <w:rPr>
                <w:rFonts w:ascii="Cambria Math" w:hAnsi="Cambria Math"/>
                <w:sz w:val="22"/>
              </w:rPr>
              <m:t>(K)</m:t>
            </m:r>
          </m:num>
          <m:den>
            <m:limLow>
              <m:e>
                <m:r>
                  <m:rPr>
                    <m:sty m:val="p"/>
                  </m:rPr>
                  <w:rPr>
                    <w:rFonts w:ascii="Cambria Math" w:hAnsi="Cambria Math"/>
                    <w:sz w:val="22"/>
                  </w:rPr>
                  <m:t>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A(u,j)</m:t>
            </m:r>
            <m:r>
              <w:rPr>
                <w:rFonts w:ascii="Cambria Math" w:hAnsi="Cambria Math"/>
                <w:sz w:val="22"/>
              </w:rPr>
              <m:t> − </m:t>
            </m:r>
            <m:limLow>
              <m:e>
                <m:r>
                  <m:rPr>
                    <m:sty m:val="p"/>
                  </m:rPr>
                  <w:rPr>
                    <w:rFonts w:ascii="Cambria Math" w:hAnsi="Cambria Math"/>
                    <w:sz w:val="22"/>
                  </w:rPr>
                  <m:t>min</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A(u,j)</m:t>
            </m:r>
            <m:r>
              <w:rPr>
                <w:rFonts w:ascii="Cambria Math" w:hAnsi="Cambria Math"/>
                <w:sz w:val="22"/>
              </w:rPr>
              <m:t> + </m:t>
            </m:r>
            <m:sSub>
              <m:e>
                <m:r>
                  <w:rPr>
                    <w:rFonts w:ascii="Cambria Math" w:hAnsi="Cambria Math"/>
                    <w:sz w:val="22"/>
                  </w:rPr>
                  <m:t>ε</m:t>
                </m:r>
              </m:e>
              <m:sub>
                <m:r>
                  <m:rPr>
                    <m:sty m:val="p"/>
                  </m:rPr>
                  <w:rPr>
                    <w:rFonts w:ascii="Cambria Math" w:hAnsi="Cambria Math"/>
                    <w:sz w:val="22"/>
                  </w:rPr>
                  <m:t>num</m:t>
                </m:r>
              </m:sub>
            </m:sSub>
          </m:den>
        </m:f>
      </m:oMath>
      <w:r>
        <w:tab/>
      </w:r>
      <w:r>
        <w:rPr>
          <w:rFonts w:ascii="Times New Roman" w:hAnsi="Times New Roman"/>
          <w:sz w:val="22"/>
        </w:rPr>
        <w:t>(4)</w:t>
      </w:r>
    </w:p>
    <w:p>
      <w:pPr>
        <w:tabs>
          <w:tab w:val="center" w:pos="4649"/>
          <w:tab w:val="right" w:pos="9298"/>
        </w:tabs>
        <w:spacing w:before="0" w:after="0" w:line="240" w:lineRule="auto"/>
      </w:pPr>
      <w:r>
        <w:tab/>
      </w:r>
      <m:oMath>
        <m:sSub>
          <m:e>
            <m:r>
              <m:rPr>
                <m:sty m:val="p"/>
              </m:rPr>
              <w:rPr>
                <w:rFonts w:ascii="Cambria Math" w:hAnsi="Cambria Math"/>
                <w:sz w:val="22"/>
              </w:rPr>
              <m:t>CAHit</m:t>
            </m:r>
          </m:e>
          <m:sub>
            <m:r>
              <w:rPr>
                <w:rFonts w:ascii="Cambria Math" w:hAnsi="Cambria Math"/>
                <w:sz w:val="22"/>
              </w:rPr>
              <m:t>q</m:t>
            </m:r>
            <m:r>
              <w:rPr>
                <w:rFonts w:ascii="Cambria Math" w:hAnsi="Cambria Math"/>
                <w:sz w:val="22"/>
              </w:rPr>
              <m:t>,</m:t>
            </m:r>
            <m:r>
              <w:rPr>
                <w:rFonts w:ascii="Cambria Math" w:hAnsi="Cambria Math"/>
                <w:sz w:val="22"/>
              </w:rPr>
              <m:t>u</m:t>
            </m:r>
          </m:sub>
        </m:sSub>
        <m:r>
          <w:rPr>
            <w:rFonts w:ascii="Cambria Math" w:hAnsi="Cambria Math"/>
            <w:sz w:val="22"/>
          </w:rPr>
          <m:t> = </m:t>
        </m:r>
        <m:f>
          <m:num>
            <m:r>
              <m:rPr>
                <m:sty m:val="p"/>
              </m:rPr>
              <w:rPr>
                <w:rFonts w:ascii="Cambria Math" w:hAnsi="Cambria Math"/>
                <w:sz w:val="22"/>
              </w:rPr>
              <m:t>I</m:t>
            </m:r>
            <m:r>
              <w:rPr>
                <w:rFonts w:ascii="Cambria Math" w:hAnsi="Cambria Math"/>
                <w:sz w:val="22"/>
              </w:rPr>
              <m:t>(</m:t>
            </m:r>
            <m:sSub>
              <m:e>
                <m:r>
                  <w:rPr>
                    <w:rFonts w:ascii="Cambria Math" w:hAnsi="Cambria Math"/>
                    <w:sz w:val="22"/>
                  </w:rPr>
                  <m:t>r</m:t>
                </m:r>
              </m:e>
              <m:sub>
                <m:r>
                  <w:rPr>
                    <w:rFonts w:ascii="Cambria Math" w:hAnsi="Cambria Math"/>
                    <w:sz w:val="22"/>
                  </w:rPr>
                  <m:t>u</m:t>
                </m:r>
              </m:sub>
            </m:sSub>
            <m:r>
              <w:rPr>
                <w:rFonts w:ascii="Cambria Math" w:hAnsi="Cambria Math"/>
                <w:sz w:val="22"/>
              </w:rPr>
              <m:t> ≤ q) − </m:t>
            </m:r>
            <m:f>
              <m:num>
                <m:r>
                  <w:rPr>
                    <w:rFonts w:ascii="Cambria Math" w:hAnsi="Cambria Math"/>
                    <w:sz w:val="22"/>
                  </w:rPr>
                  <m:t>q</m:t>
                </m:r>
              </m:num>
              <m:den>
                <m:r>
                  <w:rPr>
                    <w:rFonts w:ascii="Cambria Math" w:hAnsi="Cambria Math"/>
                    <w:sz w:val="22"/>
                  </w:rPr>
                  <m:t>K</m:t>
                </m:r>
              </m:den>
            </m:f>
          </m:num>
          <m:den>
            <m:r>
              <w:rPr>
                <w:rFonts w:ascii="Cambria Math" w:hAnsi="Cambria Math"/>
                <w:sz w:val="22"/>
              </w:rPr>
              <m:t>1 − </m:t>
            </m:r>
            <m:f>
              <m:num>
                <m:r>
                  <w:rPr>
                    <w:rFonts w:ascii="Cambria Math" w:hAnsi="Cambria Math"/>
                    <w:sz w:val="22"/>
                  </w:rPr>
                  <m:t>q</m:t>
                </m:r>
              </m:num>
              <m:den>
                <m:r>
                  <w:rPr>
                    <w:rFonts w:ascii="Cambria Math" w:hAnsi="Cambria Math"/>
                    <w:sz w:val="22"/>
                  </w:rPr>
                  <m:t>K</m:t>
                </m:r>
              </m:den>
            </m:f>
          </m:den>
        </m:f>
        <m:r>
          <w:rPr>
            <w:rFonts w:ascii="Cambria Math" w:hAnsi="Cambria Math"/>
            <w:sz w:val="22"/>
          </w:rPr>
          <m:t>,   q = 3</m:t>
        </m:r>
      </m:oMath>
      <w:r>
        <w:tab/>
      </w:r>
      <w:r>
        <w:rPr>
          <w:rFonts w:ascii="Times New Roman" w:hAnsi="Times New Roman"/>
          <w:sz w:val="22"/>
        </w:rPr>
        <w:t>(5a)</w:t>
      </w:r>
    </w:p>
    <w:p>
      <w:pPr>
        <w:tabs>
          <w:tab w:val="center" w:pos="4649"/>
          <w:tab w:val="right" w:pos="9298"/>
        </w:tabs>
        <w:spacing w:before="0" w:after="0" w:line="240" w:lineRule="auto"/>
      </w:pPr>
      <w:r>
        <w:tab/>
      </w:r>
      <m:oMath>
        <m:sSub>
          <m:e>
            <m:r>
              <m:rPr>
                <m:sty m:val="p"/>
              </m:rPr>
              <w:rPr>
                <w:rFonts w:ascii="Cambria Math" w:hAnsi="Cambria Math"/>
                <w:sz w:val="22"/>
              </w:rPr>
              <m:t>MRR</m:t>
            </m:r>
          </m:e>
          <m:sub>
            <m:r>
              <w:rPr>
                <w:rFonts w:ascii="Cambria Math" w:hAnsi="Cambria Math"/>
                <w:sz w:val="22"/>
              </w:rPr>
              <m:t>u</m:t>
            </m:r>
          </m:sub>
        </m:sSub>
        <m:r>
          <w:rPr>
            <w:rFonts w:ascii="Cambria Math" w:hAnsi="Cambria Math"/>
            <w:sz w:val="22"/>
          </w:rPr>
          <m:t> = </m:t>
        </m:r>
        <m:f>
          <m:num>
            <m:r>
              <w:rPr>
                <w:rFonts w:ascii="Cambria Math" w:hAnsi="Cambria Math"/>
                <w:sz w:val="22"/>
              </w:rPr>
              <m:t>1</m:t>
            </m:r>
          </m:num>
          <m:den>
            <m:sSub>
              <m:e>
                <m:r>
                  <w:rPr>
                    <w:rFonts w:ascii="Cambria Math" w:hAnsi="Cambria Math"/>
                    <w:sz w:val="22"/>
                  </w:rPr>
                  <m:t>r</m:t>
                </m:r>
              </m:e>
              <m:sub>
                <m:r>
                  <w:rPr>
                    <w:rFonts w:ascii="Cambria Math" w:hAnsi="Cambria Math"/>
                    <w:sz w:val="22"/>
                  </w:rPr>
                  <m:t>u</m:t>
                </m:r>
              </m:sub>
            </m:sSub>
          </m:den>
        </m:f>
      </m:oMath>
      <w:r>
        <w:tab/>
      </w:r>
      <w:r>
        <w:rPr>
          <w:rFonts w:ascii="Times New Roman" w:hAnsi="Times New Roman"/>
          <w:sz w:val="22"/>
        </w:rPr>
        <w:t>(5b)</w:t>
      </w:r>
    </w:p>
    <w:p>
      <w:pPr>
        <w:tabs>
          <w:tab w:val="center" w:pos="4649"/>
          <w:tab w:val="right" w:pos="9298"/>
        </w:tabs>
        <w:spacing w:before="0" w:after="0" w:line="240" w:lineRule="auto"/>
      </w:pPr>
      <w:r>
        <w:tab/>
      </w:r>
      <m:oMath>
        <m:sSup>
          <m:e>
            <m:r>
              <m:rPr>
                <m:sty m:val="p"/>
              </m:rPr>
              <w:rPr>
                <w:rFonts w:ascii="Cambria Math" w:hAnsi="Cambria Math"/>
                <w:sz w:val="22"/>
              </w:rPr>
              <m:t>E</m:t>
            </m:r>
          </m:e>
          <m:sup>
            <m:r>
              <w:rPr>
                <w:rFonts w:ascii="Cambria Math" w:hAnsi="Cambria Math"/>
                <w:sz w:val="22"/>
              </w:rPr>
              <m:t>0</m:t>
            </m:r>
          </m:sup>
        </m:sSup>
        <m:r>
          <w:rPr>
            <w:rFonts w:ascii="Cambria Math" w:hAnsi="Cambria Math"/>
            <w:sz w:val="22"/>
          </w:rPr>
          <m:t>[</m:t>
        </m:r>
        <m:r>
          <m:rPr>
            <m:sty m:val="p"/>
          </m:rPr>
          <w:rPr>
            <w:rFonts w:ascii="Cambria Math" w:hAnsi="Cambria Math"/>
            <w:sz w:val="22"/>
          </w:rPr>
          <m:t>MRR</m:t>
        </m:r>
        <m:r>
          <w:rPr>
            <w:rFonts w:ascii="Cambria Math" w:hAnsi="Cambria Math"/>
            <w:sz w:val="22"/>
          </w:rPr>
          <m:t>] = </m:t>
        </m:r>
        <m:f>
          <m:num>
            <m:sSub>
              <m:e>
                <m:r>
                  <w:rPr>
                    <w:rFonts w:ascii="Cambria Math" w:hAnsi="Cambria Math"/>
                    <w:sz w:val="22"/>
                  </w:rPr>
                  <m:t>H</m:t>
                </m:r>
              </m:e>
              <m:sub>
                <m:r>
                  <w:rPr>
                    <w:rFonts w:ascii="Cambria Math" w:hAnsi="Cambria Math"/>
                    <w:sz w:val="22"/>
                  </w:rPr>
                  <m:t>K</m:t>
                </m:r>
              </m:sub>
            </m:sSub>
          </m:num>
          <m:den>
            <m:r>
              <w:rPr>
                <w:rFonts w:ascii="Cambria Math" w:hAnsi="Cambria Math"/>
                <w:sz w:val="22"/>
              </w:rPr>
              <m:t>K</m:t>
            </m:r>
          </m:den>
        </m:f>
        <m:r>
          <w:rPr>
            <w:rFonts w:ascii="Cambria Math" w:hAnsi="Cambria Math"/>
            <w:sz w:val="22"/>
          </w:rPr>
          <m:t>;   </m:t>
        </m:r>
        <m:sSub>
          <m:e>
            <m:acc>
              <m:accPr>
                <m:chr m:val="̃"/>
              </m:accPr>
              <m:e>
                <m:r>
                  <m:rPr>
                    <m:sty m:val="p"/>
                  </m:rPr>
                  <w:rPr>
                    <w:rFonts w:ascii="Cambria Math" w:hAnsi="Cambria Math"/>
                    <w:sz w:val="22"/>
                  </w:rPr>
                  <m:t>MRR</m:t>
                </m:r>
              </m:e>
            </m:acc>
          </m:e>
          <m:sub>
            <m:r>
              <w:rPr>
                <w:rFonts w:ascii="Cambria Math" w:hAnsi="Cambria Math"/>
                <w:sz w:val="22"/>
              </w:rPr>
              <m:t>u</m:t>
            </m:r>
          </m:sub>
        </m:sSub>
        <m:r>
          <w:rPr>
            <w:rFonts w:ascii="Cambria Math" w:hAnsi="Cambria Math"/>
            <w:sz w:val="22"/>
          </w:rPr>
          <m:t> = </m:t>
        </m:r>
        <m:f>
          <m:num>
            <m:sSub>
              <m:e>
                <m:r>
                  <m:rPr>
                    <m:sty m:val="p"/>
                  </m:rPr>
                  <w:rPr>
                    <w:rFonts w:ascii="Cambria Math" w:hAnsi="Cambria Math"/>
                    <w:sz w:val="22"/>
                  </w:rPr>
                  <m:t>MRR</m:t>
                </m:r>
              </m:e>
              <m:sub>
                <m:r>
                  <w:rPr>
                    <w:rFonts w:ascii="Cambria Math" w:hAnsi="Cambria Math"/>
                    <w:sz w:val="22"/>
                  </w:rPr>
                  <m:t>u</m:t>
                </m:r>
              </m:sub>
            </m:sSub>
            <m:r>
              <w:rPr>
                <w:rFonts w:ascii="Cambria Math" w:hAnsi="Cambria Math"/>
                <w:sz w:val="22"/>
              </w:rPr>
              <m:t> − </m:t>
            </m:r>
            <m:f>
              <m:num>
                <m:sSub>
                  <m:e>
                    <m:r>
                      <w:rPr>
                        <w:rFonts w:ascii="Cambria Math" w:hAnsi="Cambria Math"/>
                        <w:sz w:val="22"/>
                      </w:rPr>
                      <m:t>H</m:t>
                    </m:r>
                  </m:e>
                  <m:sub>
                    <m:r>
                      <w:rPr>
                        <w:rFonts w:ascii="Cambria Math" w:hAnsi="Cambria Math"/>
                        <w:sz w:val="22"/>
                      </w:rPr>
                      <m:t>K</m:t>
                    </m:r>
                  </m:sub>
                </m:sSub>
              </m:num>
              <m:den>
                <m:r>
                  <w:rPr>
                    <w:rFonts w:ascii="Cambria Math" w:hAnsi="Cambria Math"/>
                    <w:sz w:val="22"/>
                  </w:rPr>
                  <m:t>K</m:t>
                </m:r>
              </m:den>
            </m:f>
          </m:num>
          <m:den>
            <m:r>
              <w:rPr>
                <w:rFonts w:ascii="Cambria Math" w:hAnsi="Cambria Math"/>
                <w:sz w:val="22"/>
              </w:rPr>
              <m:t>1 − </m:t>
            </m:r>
            <m:f>
              <m:num>
                <m:sSub>
                  <m:e>
                    <m:r>
                      <w:rPr>
                        <w:rFonts w:ascii="Cambria Math" w:hAnsi="Cambria Math"/>
                        <w:sz w:val="22"/>
                      </w:rPr>
                      <m:t>H</m:t>
                    </m:r>
                  </m:e>
                  <m:sub>
                    <m:r>
                      <w:rPr>
                        <w:rFonts w:ascii="Cambria Math" w:hAnsi="Cambria Math"/>
                        <w:sz w:val="22"/>
                      </w:rPr>
                      <m:t>K</m:t>
                    </m:r>
                  </m:sub>
                </m:sSub>
              </m:num>
              <m:den>
                <m:r>
                  <w:rPr>
                    <w:rFonts w:ascii="Cambria Math" w:hAnsi="Cambria Math"/>
                    <w:sz w:val="22"/>
                  </w:rPr>
                  <m:t>K</m:t>
                </m:r>
              </m:den>
            </m:f>
          </m:den>
        </m:f>
      </m:oMath>
      <w:r>
        <w:tab/>
      </w:r>
      <w:r>
        <w:rPr>
          <w:rFonts w:ascii="Times New Roman" w:hAnsi="Times New Roman"/>
          <w:sz w:val="22"/>
        </w:rPr>
        <w:t>(6)</w:t>
      </w:r>
    </w:p>
    <w:p>
      <w:pPr>
        <w:pStyle w:val="5"/>
        <w:spacing w:after="0" w:line="480" w:lineRule="auto" w:before="0"/>
      </w:pPr>
      <w:r>
        <w:rPr>
          <w:rFonts w:ascii="Times New Roman" w:hAnsi="Times New Roman" w:eastAsia="SimSun"/>
          <w:sz w:val="24"/>
        </w:rPr>
        <w:t>Completion-gap estimands and decomposition</w:t>
      </w:r>
    </w:p>
    <w:p>
      <w:pPr>
        <w:spacing w:line="480" w:lineRule="auto" w:before="0" w:after="0"/>
      </w:pPr>
      <w:r>
        <w:rPr>
          <w:rFonts w:ascii="Times New Roman" w:hAnsi="Times New Roman" w:eastAsia="SimSun"/>
          <w:sz w:val="24"/>
        </w:rPr>
        <w:t xml:space="preserve">Let </w:t>
      </w:r>
      <m:oMath>
        <m:sSub>
          <m:sSubPr/>
          <m:e>
            <m:r>
              <m:rPr/>
              <m:t>U</m:t>
            </m:r>
          </m:e>
          <m:sub>
            <m:r>
              <m:rPr/>
              <m:t>−s</m:t>
            </m:r>
          </m:sub>
        </m:sSub>
      </m:oMath>
      <w:r>
        <w:rPr>
          <w:rFonts w:ascii="Times New Roman" w:hAnsi="Times New Roman" w:eastAsia="SimSun"/>
          <w:sz w:val="24"/>
        </w:rPr>
        <w:t xml:space="preserve"> denote the outer audit units from seeds other than held-out seed s and define </w:t>
      </w:r>
      <m:oMath>
        <m:sSub>
          <m:sSubPr/>
          <m:e>
            <m:r>
              <m:rPr/>
              <m:t>N</m:t>
            </m:r>
          </m:e>
          <m:sub>
            <m:r>
              <m:rPr/>
              <m:t>−s</m:t>
            </m:r>
          </m:sub>
        </m:sSub>
      </m:oMath>
      <w:r>
        <w:rPr>
          <w:rFonts w:ascii="Times New Roman" w:hAnsi="Times New Roman" w:eastAsia="SimSun"/>
          <w:sz w:val="24"/>
        </w:rPr>
        <w:t xml:space="preserve"> = |</w:t>
      </w:r>
      <m:oMath>
        <m:sSub>
          <m:sSubPr/>
          <m:e>
            <m:r>
              <m:rPr/>
              <m:t>U</m:t>
            </m:r>
          </m:e>
          <m:sub>
            <m:r>
              <m:rPr/>
              <m:t>−s</m:t>
            </m:r>
          </m:sub>
        </m:sSub>
      </m:oMath>
      <w:r>
        <w:rPr>
          <w:rFonts w:ascii="Times New Roman" w:hAnsi="Times New Roman" w:eastAsia="SimSun"/>
          <w:sz w:val="24"/>
        </w:rPr>
        <w:t xml:space="preserve">|. The reference-training set contains all outer units from seeds other than held-out seed s. Primary references use the other nine of </w:t>
      </w:r>
      <m:oMath>
        <m:sSub>
          <m:sSubPr/>
          <m:e>
            <m:r>
              <m:rPr/>
              <m:t>S</m:t>
            </m:r>
          </m:e>
          <m:sub>
            <m:r>
              <m:rPr>
                <m:sty m:val="p"/>
              </m:rPr>
              <m:t>main</m:t>
            </m:r>
          </m:sub>
        </m:sSub>
      </m:oMath>
      <w:r>
        <w:rPr>
          <w:rFonts w:ascii="Times New Roman" w:hAnsi="Times New Roman" w:eastAsia="SimSun"/>
          <w:sz w:val="24"/>
        </w:rPr>
        <w:t xml:space="preserve"> = 10 seeds; five-seed secondary analyses use the other four only within their own scope. Equations (7)–(14) define the candidate identities, </w:t>
      </w:r>
      <m:oMath>
        <m:sSub>
          <m:sSubPr/>
          <m:e>
            <m:r>
              <m:rPr/>
              <m:t>G</m:t>
            </m:r>
          </m:e>
          <m:sub>
            <m:r>
              <m:rPr>
                <m:sty m:val="p"/>
              </m:rPr>
              <m:t>inv</m:t>
            </m:r>
          </m:sub>
        </m:sSub>
      </m:oMath>
      <w:r>
        <w:rPr>
          <w:rFonts w:ascii="Times New Roman" w:hAnsi="Times New Roman" w:eastAsia="SimSun"/>
          <w:sz w:val="24"/>
        </w:rPr>
        <w:t xml:space="preserve">, </w:t>
      </w:r>
      <m:oMath>
        <m:sSub>
          <m:sSubPr/>
          <m:e>
            <m:r>
              <m:rPr/>
              <m:t>G</m:t>
            </m:r>
          </m:e>
          <m:sub>
            <m:r>
              <m:rPr>
                <m:sty m:val="p"/>
              </m:rPr>
              <m:t>dep</m:t>
            </m:r>
          </m:sub>
        </m:sSub>
      </m:oMath>
      <w:r>
        <w:rPr>
          <w:rFonts w:ascii="Times New Roman" w:hAnsi="Times New Roman" w:eastAsia="SimSun"/>
          <w:sz w:val="24"/>
        </w:rPr>
        <w:t xml:space="preserve">, </w:t>
      </w:r>
      <m:oMath>
        <m:sSub>
          <m:sSubPr/>
          <m:e>
            <m:r>
              <m:rPr/>
              <m:t>G</m:t>
            </m:r>
          </m:e>
          <m:sub>
            <m:r>
              <m:rPr>
                <m:sty m:val="p"/>
              </m:rPr>
              <m:t>same</m:t>
            </m:r>
          </m:sub>
        </m:sSub>
      </m:oMath>
      <w:r>
        <w:rPr>
          <w:rFonts w:ascii="Times New Roman" w:hAnsi="Times New Roman" w:eastAsia="SimSun"/>
          <w:sz w:val="24"/>
        </w:rPr>
        <w:t xml:space="preserve">, </w:t>
      </w:r>
      <m:oMath>
        <m:sSub>
          <m:sSubPr/>
          <m:e>
            <m:r>
              <m:rPr/>
              <m:t>G</m:t>
            </m:r>
          </m:e>
          <m:sub>
            <m:r>
              <m:rPr>
                <m:sty m:val="p"/>
              </m:rPr>
              <m:t>avail</m:t>
            </m:r>
          </m:sub>
        </m:sSub>
      </m:oMath>
      <w:r>
        <w:rPr>
          <w:rFonts w:ascii="Times New Roman" w:hAnsi="Times New Roman" w:eastAsia="SimSun"/>
          <w:sz w:val="24"/>
        </w:rPr>
        <w:t xml:space="preserve">, the exact decomposition and </w:t>
      </w:r>
      <m:oMath>
        <m:sSub>
          <m:sSubPr/>
          <m:e>
            <m:r>
              <m:rPr/>
              <m:t>Δ</m:t>
            </m:r>
          </m:e>
          <m:sub>
            <m:r>
              <m:rPr>
                <m:sty m:val="p"/>
              </m:rPr>
              <m:t>inv</m:t>
            </m:r>
          </m:sub>
        </m:sSub>
      </m:oMath>
      <w:r>
        <w:rPr>
          <w:rFonts w:ascii="Times New Roman" w:hAnsi="Times New Roman" w:eastAsia="SimSun"/>
          <w:sz w:val="24"/>
        </w:rPr>
        <w:t xml:space="preserve">(e). A negative </w:t>
      </w:r>
      <m:oMath>
        <m:sSub>
          <m:sSubPr/>
          <m:e>
            <m:r>
              <m:rPr/>
              <m:t>Δ</m:t>
            </m:r>
          </m:e>
          <m:sub>
            <m:r>
              <m:rPr>
                <m:sty m:val="p"/>
              </m:rPr>
              <m:t>inv</m:t>
            </m:r>
          </m:sub>
        </m:sSub>
      </m:oMath>
      <w:r>
        <w:rPr>
          <w:rFonts w:ascii="Times New Roman" w:hAnsi="Times New Roman" w:eastAsia="SimSun"/>
          <w:sz w:val="24"/>
        </w:rPr>
        <w:t>(e) means a smaller full-registry completion gap at K = 32; a positive value means a smaller gap at K = 4.</w:t>
      </w:r>
    </w:p>
    <w:p>
      <w:pPr>
        <w:tabs>
          <w:tab w:val="center" w:pos="4649"/>
          <w:tab w:val="right" w:pos="9298"/>
        </w:tabs>
        <w:spacing w:before="0" w:after="0" w:line="240" w:lineRule="auto"/>
      </w:pPr>
      <w:r>
        <w:tab/>
      </w:r>
      <m:oMath>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V(u,j)</m:t>
        </m:r>
      </m:oMath>
      <w:r>
        <w:tab/>
      </w:r>
      <w:r>
        <w:rPr>
          <w:rFonts w:ascii="Times New Roman" w:hAnsi="Times New Roman"/>
          <w:sz w:val="22"/>
        </w:rPr>
        <w:t>(7)</w:t>
      </w:r>
    </w:p>
    <w:p>
      <w:pPr>
        <w:tabs>
          <w:tab w:val="center" w:pos="4649"/>
          <w:tab w:val="right" w:pos="9298"/>
        </w:tabs>
        <w:spacing w:before="0" w:after="0" w:line="240" w:lineRule="auto"/>
      </w:pPr>
      <w:r>
        <w:tab/>
      </w: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32</m:t>
                </m:r>
              </m:sub>
            </m:sSub>
          </m:lim>
        </m:limLow>
        <m:f>
          <m:num>
            <m:r>
              <w:rPr>
                <w:rFonts w:ascii="Cambria Math" w:hAnsi="Cambria Math"/>
                <w:sz w:val="22"/>
              </w:rPr>
              <m:t>1</m:t>
            </m:r>
          </m:num>
          <m:den>
            <m:sSub>
              <m:e>
                <m:r>
                  <w:rPr>
                    <w:rFonts w:ascii="Cambria Math" w:hAnsi="Cambria Math"/>
                    <w:sz w:val="22"/>
                  </w:rPr>
                  <m:t>N</m:t>
                </m:r>
              </m:e>
              <m:sub>
                <m:r>
                  <w:rPr>
                    <w:rFonts w:ascii="Cambria Math" w:hAnsi="Cambria Math"/>
                    <w:sz w:val="22"/>
                  </w:rPr>
                  <m:t>−s</m:t>
                </m:r>
              </m:sub>
            </m:sSub>
          </m:den>
        </m:f>
        <m:r>
          <w:rPr>
            <w:rFonts w:ascii="Cambria Math" w:hAnsi="Cambria Math"/>
            <w:sz w:val="22"/>
          </w:rPr>
          <m:t> </m:t>
        </m:r>
        <m:nary>
          <m:naryPr>
            <m:chr m:val="∑"/>
            <m:limLoc m:val="undOvr"/>
            <m:supHide m:val="1"/>
          </m:naryPr>
          <m:sub>
            <m:r>
              <w:rPr>
                <w:rFonts w:ascii="Cambria Math" w:hAnsi="Cambria Math"/>
                <w:sz w:val="22"/>
              </w:rPr>
              <m:t>u ∈ </m:t>
            </m:r>
            <m:sSub>
              <m:e>
                <m:r>
                  <w:rPr>
                    <w:rFonts w:ascii="Cambria Math" w:hAnsi="Cambria Math"/>
                    <w:sz w:val="22"/>
                  </w:rPr>
                  <m:t>U</m:t>
                </m:r>
              </m:e>
              <m:sub>
                <m:r>
                  <w:rPr>
                    <w:rFonts w:ascii="Cambria Math" w:hAnsi="Cambria Math"/>
                    <w:sz w:val="22"/>
                  </w:rPr>
                  <m:t>−s</m:t>
                </m:r>
              </m:sub>
            </m:sSub>
          </m:sub>
          <m:sup>
            <m:r>
              <w:rPr>
                <w:rFonts w:ascii="Cambria Math" w:hAnsi="Cambria Math"/>
                <w:sz w:val="22"/>
              </w:rPr>
              <m:t/>
            </m:r>
          </m:sup>
          <m:e>
            <m:r>
              <w:rPr>
                <w:rFonts w:ascii="Cambria Math" w:hAnsi="Cambria Math"/>
                <w:sz w:val="22"/>
              </w:rPr>
              <m:t>A(u,j)</m:t>
            </m:r>
          </m:e>
        </m:nary>
      </m:oMath>
      <w:r>
        <w:tab/>
      </w:r>
      <w:r>
        <w:rPr>
          <w:rFonts w:ascii="Times New Roman" w:hAnsi="Times New Roman"/>
          <w:sz w:val="22"/>
        </w:rPr>
        <w:t>(8)</w:t>
      </w:r>
    </w:p>
    <w:p>
      <w:pPr>
        <w:tabs>
          <w:tab w:val="center" w:pos="4649"/>
          <w:tab w:val="right" w:pos="9298"/>
        </w:tabs>
        <w:spacing w:before="0" w:after="0" w:line="240" w:lineRule="auto"/>
      </w:pPr>
      <w:r>
        <w:tab/>
      </w: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f>
          <m:num>
            <m:r>
              <w:rPr>
                <w:rFonts w:ascii="Cambria Math" w:hAnsi="Cambria Math"/>
                <w:sz w:val="22"/>
              </w:rPr>
              <m:t>1</m:t>
            </m:r>
          </m:num>
          <m:den>
            <m:sSub>
              <m:e>
                <m:r>
                  <w:rPr>
                    <w:rFonts w:ascii="Cambria Math" w:hAnsi="Cambria Math"/>
                    <w:sz w:val="22"/>
                  </w:rPr>
                  <m:t>N</m:t>
                </m:r>
              </m:e>
              <m:sub>
                <m:r>
                  <w:rPr>
                    <w:rFonts w:ascii="Cambria Math" w:hAnsi="Cambria Math"/>
                    <w:sz w:val="22"/>
                  </w:rPr>
                  <m:t>−s</m:t>
                </m:r>
              </m:sub>
            </m:sSub>
          </m:den>
        </m:f>
        <m:r>
          <w:rPr>
            <w:rFonts w:ascii="Cambria Math" w:hAnsi="Cambria Math"/>
            <w:sz w:val="22"/>
          </w:rPr>
          <m:t> </m:t>
        </m:r>
        <m:nary>
          <m:naryPr>
            <m:chr m:val="∑"/>
            <m:limLoc m:val="undOvr"/>
            <m:supHide m:val="1"/>
          </m:naryPr>
          <m:sub>
            <m:r>
              <w:rPr>
                <w:rFonts w:ascii="Cambria Math" w:hAnsi="Cambria Math"/>
                <w:sz w:val="22"/>
              </w:rPr>
              <m:t>u ∈ </m:t>
            </m:r>
            <m:sSub>
              <m:e>
                <m:r>
                  <w:rPr>
                    <w:rFonts w:ascii="Cambria Math" w:hAnsi="Cambria Math"/>
                    <w:sz w:val="22"/>
                  </w:rPr>
                  <m:t>U</m:t>
                </m:r>
              </m:e>
              <m:sub>
                <m:r>
                  <w:rPr>
                    <w:rFonts w:ascii="Cambria Math" w:hAnsi="Cambria Math"/>
                    <w:sz w:val="22"/>
                  </w:rPr>
                  <m:t>−s</m:t>
                </m:r>
              </m:sub>
            </m:sSub>
          </m:sub>
          <m:sup>
            <m:r>
              <w:rPr>
                <w:rFonts w:ascii="Cambria Math" w:hAnsi="Cambria Math"/>
                <w:sz w:val="22"/>
              </w:rPr>
              <m:t/>
            </m:r>
          </m:sup>
          <m:e>
            <m:r>
              <w:rPr>
                <w:rFonts w:ascii="Cambria Math" w:hAnsi="Cambria Math"/>
                <w:sz w:val="22"/>
              </w:rPr>
              <m:t>A(u,j)</m:t>
            </m:r>
          </m:e>
        </m:nary>
      </m:oMath>
      <w:r>
        <w:tab/>
      </w:r>
      <w:r>
        <w:rPr>
          <w:rFonts w:ascii="Times New Roman" w:hAnsi="Times New Roman"/>
          <w:sz w:val="22"/>
        </w:rPr>
        <w:t>(9)</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r>
        <w:tab/>
      </w:r>
      <w:r>
        <w:rPr>
          <w:rFonts w:ascii="Times New Roman" w:hAnsi="Times New Roman"/>
          <w:sz w:val="22"/>
        </w:rPr>
        <w:t>(10a)</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r>
        <w:tab/>
      </w:r>
      <w:r>
        <w:rPr>
          <w:rFonts w:ascii="Times New Roman" w:hAnsi="Times New Roman"/>
          <w:sz w:val="22"/>
        </w:rPr>
        <w:t>(10b)</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same</m:t>
            </m:r>
          </m:sub>
        </m:sSub>
        <m:r>
          <w:rPr>
            <w:rFonts w:ascii="Cambria Math" w:hAnsi="Cambria Math"/>
            <w:sz w:val="22"/>
          </w:rPr>
          <m:t>(u,K) = </m:t>
        </m:r>
        <m:limLow>
          <m:e>
            <m:r>
              <m:rPr>
                <m:sty m:val="p"/>
              </m:rPr>
              <w:rPr>
                <w:rFonts w:ascii="Cambria Math" w:hAnsi="Cambria Math"/>
                <w:sz w:val="22"/>
              </w:rPr>
              <m:t>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A(u,j)</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r>
        <w:tab/>
      </w:r>
      <w:r>
        <w:rPr>
          <w:rFonts w:ascii="Times New Roman" w:hAnsi="Times New Roman"/>
          <w:sz w:val="22"/>
        </w:rPr>
        <w:t>(11)</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oMath>
      <w:r>
        <w:tab/>
      </w:r>
      <w:r>
        <w:rPr>
          <w:rFonts w:ascii="Times New Roman" w:hAnsi="Times New Roman"/>
          <w:sz w:val="22"/>
        </w:rPr>
        <w:t>(12a)</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m:t>
        </m:r>
      </m:oMath>
      <w:r>
        <w:tab/>
      </w:r>
      <w:r>
        <w:rPr>
          <w:rFonts w:ascii="Times New Roman" w:hAnsi="Times New Roman"/>
          <w:sz w:val="22"/>
        </w:rPr>
        <w:t>(12b)</w:t>
      </w:r>
    </w:p>
    <w:p>
      <w:pPr>
        <w:tabs>
          <w:tab w:val="center" w:pos="4649"/>
          <w:tab w:val="right" w:pos="9298"/>
        </w:tabs>
        <w:spacing w:before="0" w:after="0" w:line="240" w:lineRule="auto"/>
      </w:pPr>
      <w:r>
        <w:tab/>
      </w:r>
      <m:oMath>
        <m:sSub>
          <m:e>
            <m:acc>
              <m:accPr>
                <m:chr m:val="¯"/>
              </m:accPr>
              <m:e>
                <m:r>
                  <w:rPr>
                    <w:rFonts w:ascii="Cambria Math" w:hAnsi="Cambria Math"/>
                    <w:sz w:val="22"/>
                  </w:rPr>
                  <m:t>G</m:t>
                </m:r>
              </m:e>
            </m:acc>
          </m:e>
          <m:sub>
            <m:r>
              <m:rPr>
                <m:sty m:val="p"/>
              </m:rPr>
              <w:rPr>
                <w:rFonts w:ascii="Cambria Math" w:hAnsi="Cambria Math"/>
                <w:sz w:val="22"/>
              </w:rPr>
              <m:t>inv</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(K) = </m:t>
        </m:r>
        <m:f>
          <m:num>
            <m:nary>
              <m:naryPr>
                <m:chr m:val="∑"/>
                <m:limLoc m:val="undOvr"/>
              </m:naryPr>
              <m:sub>
                <m:r>
                  <w:rPr>
                    <w:rFonts w:ascii="Cambria Math" w:hAnsi="Cambria Math"/>
                    <w:sz w:val="22"/>
                  </w:rPr>
                  <m:t>f=1</m:t>
                </m:r>
              </m:sub>
              <m:sup>
                <m:r>
                  <w:rPr>
                    <w:rFonts w:ascii="Cambria Math" w:hAnsi="Cambria Math"/>
                    <w:sz w:val="22"/>
                  </w:rPr>
                  <m:t>F</m:t>
                </m:r>
              </m:sup>
              <m:e>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((s,f),K)</m:t>
                </m:r>
              </m:e>
            </m:nary>
          </m:num>
          <m:den>
            <m:r>
              <w:rPr>
                <w:rFonts w:ascii="Cambria Math" w:hAnsi="Cambria Math"/>
                <w:sz w:val="22"/>
              </w:rPr>
              <m:t>F</m:t>
            </m:r>
          </m:den>
        </m:f>
      </m:oMath>
      <w:r>
        <w:tab/>
      </w:r>
      <w:r>
        <w:rPr>
          <w:rFonts w:ascii="Times New Roman" w:hAnsi="Times New Roman"/>
          <w:sz w:val="22"/>
        </w:rPr>
        <w:t>(13)</w:t>
      </w:r>
    </w:p>
    <w:p>
      <w:pPr>
        <w:tabs>
          <w:tab w:val="center" w:pos="4649"/>
          <w:tab w:val="right" w:pos="9298"/>
        </w:tabs>
        <w:spacing w:before="0" w:after="0" w:line="240" w:lineRule="auto"/>
      </w:pPr>
      <w:r>
        <w:tab/>
      </w:r>
      <m:oMath>
        <m:sSub>
          <m:e>
            <m:r>
              <w:rPr>
                <w:rFonts w:ascii="Cambria Math" w:hAnsi="Cambria Math"/>
                <w:sz w:val="22"/>
              </w:rPr>
              <m:t>Δ</m:t>
            </m:r>
          </m:e>
          <m:sub>
            <m:r>
              <m:rPr>
                <m:sty m:val="p"/>
              </m:rPr>
              <w:rPr>
                <w:rFonts w:ascii="Cambria Math" w:hAnsi="Cambria Math"/>
                <w:sz w:val="22"/>
              </w:rPr>
              <m:t>inv</m:t>
            </m:r>
          </m:sub>
        </m:sSub>
        <m:r>
          <w:rPr>
            <w:rFonts w:ascii="Cambria Math" w:hAnsi="Cambria Math"/>
            <w:sz w:val="22"/>
          </w:rPr>
          <m:t>(e) = </m:t>
        </m:r>
        <m:f>
          <m:num>
            <m:nary>
              <m:naryPr>
                <m:chr m:val="∑"/>
                <m:limLoc m:val="undOvr"/>
              </m:naryPr>
              <m:sub>
                <m:r>
                  <w:rPr>
                    <w:rFonts w:ascii="Cambria Math" w:hAnsi="Cambria Math"/>
                    <w:sz w:val="22"/>
                  </w:rPr>
                  <m:t>s=1</m:t>
                </m:r>
              </m:sub>
              <m:sup>
                <m:sSub>
                  <m:e>
                    <m:r>
                      <w:rPr>
                        <w:rFonts w:ascii="Cambria Math" w:hAnsi="Cambria Math"/>
                        <w:sz w:val="22"/>
                      </w:rPr>
                      <m:t>S</m:t>
                    </m:r>
                  </m:e>
                  <m:sub>
                    <m:r>
                      <m:rPr>
                        <m:sty m:val="p"/>
                      </m:rPr>
                      <w:rPr>
                        <w:rFonts w:ascii="Cambria Math" w:hAnsi="Cambria Math"/>
                        <w:sz w:val="22"/>
                      </w:rPr>
                      <m:t>main</m:t>
                    </m:r>
                  </m:sub>
                </m:sSub>
              </m:sup>
              <m:e>
                <m:d>
                  <m:dPr>
                    <m:begChr m:val="["/>
                    <m:endChr m:val="]"/>
                  </m:dPr>
                  <m:e>
                    <m:sSub>
                      <m:e>
                        <m:acc>
                          <m:accPr>
                            <m:chr m:val="¯"/>
                          </m:accPr>
                          <m:e>
                            <m:r>
                              <w:rPr>
                                <w:rFonts w:ascii="Cambria Math" w:hAnsi="Cambria Math"/>
                                <w:sz w:val="22"/>
                              </w:rPr>
                              <m:t>G</m:t>
                            </m:r>
                          </m:e>
                        </m:acc>
                      </m:e>
                      <m:sub>
                        <m:r>
                          <m:rPr>
                            <m:sty m:val="p"/>
                          </m:rPr>
                          <w:rPr>
                            <w:rFonts w:ascii="Cambria Math" w:hAnsi="Cambria Math"/>
                            <w:sz w:val="22"/>
                          </w:rPr>
                          <m:t>inv</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(32) − </m:t>
                    </m:r>
                    <m:sSub>
                      <m:e>
                        <m:acc>
                          <m:accPr>
                            <m:chr m:val="¯"/>
                          </m:accPr>
                          <m:e>
                            <m:r>
                              <w:rPr>
                                <w:rFonts w:ascii="Cambria Math" w:hAnsi="Cambria Math"/>
                                <w:sz w:val="22"/>
                              </w:rPr>
                              <m:t>G</m:t>
                            </m:r>
                          </m:e>
                        </m:acc>
                      </m:e>
                      <m:sub>
                        <m:r>
                          <m:rPr>
                            <m:sty m:val="p"/>
                          </m:rPr>
                          <w:rPr>
                            <w:rFonts w:ascii="Cambria Math" w:hAnsi="Cambria Math"/>
                            <w:sz w:val="22"/>
                          </w:rPr>
                          <m:t>inv</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(4)</m:t>
                    </m:r>
                  </m:e>
                </m:d>
              </m:e>
            </m:nary>
          </m:num>
          <m:den>
            <m:sSub>
              <m:e>
                <m:r>
                  <w:rPr>
                    <w:rFonts w:ascii="Cambria Math" w:hAnsi="Cambria Math"/>
                    <w:sz w:val="22"/>
                  </w:rPr>
                  <m:t>S</m:t>
                </m:r>
              </m:e>
              <m:sub>
                <m:r>
                  <m:rPr>
                    <m:sty m:val="p"/>
                  </m:rPr>
                  <w:rPr>
                    <w:rFonts w:ascii="Cambria Math" w:hAnsi="Cambria Math"/>
                    <w:sz w:val="22"/>
                  </w:rPr>
                  <m:t>main</m:t>
                </m:r>
              </m:sub>
            </m:sSub>
          </m:den>
        </m:f>
      </m:oMath>
      <w:r>
        <w:tab/>
      </w:r>
      <w:r>
        <w:rPr>
          <w:rFonts w:ascii="Times New Roman" w:hAnsi="Times New Roman"/>
          <w:sz w:val="22"/>
        </w:rPr>
        <w:t>(14)</w:t>
      </w:r>
    </w:p>
    <w:p>
      <w:pPr>
        <w:pStyle w:val="5"/>
        <w:spacing w:after="0" w:line="480" w:lineRule="auto" w:before="0"/>
      </w:pPr>
      <w:r>
        <w:rPr>
          <w:rFonts w:ascii="Times New Roman" w:hAnsi="Times New Roman" w:eastAsia="SimSun"/>
          <w:sz w:val="24"/>
        </w:rPr>
        <w:t>Matrix transformations and effective rank</w:t>
      </w:r>
    </w:p>
    <w:p>
      <w:pPr>
        <w:spacing w:line="480" w:lineRule="auto" w:before="0" w:after="0"/>
      </w:pPr>
      <w:r>
        <w:rPr>
          <w:rFonts w:ascii="Times New Roman" w:hAnsi="Times New Roman" w:eastAsia="SimSun"/>
          <w:sz w:val="24"/>
        </w:rPr>
        <w:t xml:space="preserve">X is the outer-utility matrix; Scov in the Ledoit–Wolf expression denotes sample covariance and must not be confused with </w:t>
      </w:r>
      <m:oMath>
        <m:sSub>
          <m:sSubPr/>
          <m:e>
            <m:r>
              <m:rPr/>
              <m:t>S</m:t>
            </m:r>
          </m:e>
          <m:sub>
            <m:r>
              <m:rPr>
                <m:sty m:val="p"/>
              </m:rPr>
              <m:t>main</m:t>
            </m:r>
          </m:sub>
        </m:sSub>
      </m:oMath>
      <w:r>
        <w:rPr>
          <w:rFonts w:ascii="Times New Roman" w:hAnsi="Times New Roman" w:eastAsia="SimSun"/>
          <w:sz w:val="24"/>
        </w:rPr>
        <w:t xml:space="preserve"> = 10 or </w:t>
      </w:r>
      <m:oMath>
        <m:sSub>
          <m:sSubPr/>
          <m:e>
            <m:r>
              <m:rPr/>
              <m:t>S</m:t>
            </m:r>
          </m:e>
          <m:sub>
            <m:r>
              <m:rPr>
                <m:sty m:val="p"/>
              </m:rPr>
              <m:t>secondary</m:t>
            </m:r>
          </m:sub>
        </m:sSub>
      </m:oMath>
      <w:r>
        <w:rPr>
          <w:rFonts w:ascii="Times New Roman" w:hAnsi="Times New Roman" w:eastAsia="SimSun"/>
          <w:sz w:val="24"/>
        </w:rPr>
        <w:t xml:space="preserve"> = 5. T is the scaled-identity target, </w:t>
      </w:r>
      <m:oMath>
        <m:sSub>
          <m:sSubPr/>
          <m:e>
            <m:r>
              <m:rPr/>
              <m:t>λ</m:t>
            </m:r>
          </m:e>
          <m:sub>
            <m:r>
              <m:rPr/>
              <m:t>i</m:t>
            </m:r>
          </m:sub>
        </m:sSub>
      </m:oMath>
      <w:r>
        <w:rPr>
          <w:rFonts w:ascii="Times New Roman" w:hAnsi="Times New Roman" w:eastAsia="SimSun"/>
          <w:sz w:val="24"/>
        </w:rPr>
        <w:t xml:space="preserve"> are the non-negative eigenvalues of the shrinkage correlation matrix and pi their unit-sum proportions. Equations (15)–(18) define the transformations and effective ranks.</w:t>
      </w:r>
    </w:p>
    <w:p>
      <w:pPr>
        <w:tabs>
          <w:tab w:val="center" w:pos="4649"/>
          <w:tab w:val="right" w:pos="9298"/>
        </w:tabs>
        <w:spacing w:before="0" w:after="0" w:line="240" w:lineRule="auto"/>
      </w:pPr>
      <w:r>
        <w:tab/>
      </w:r>
      <m:oMath>
        <m:sSub>
          <m:e>
            <m:r>
              <w:rPr>
                <w:rFonts w:ascii="Cambria Math" w:hAnsi="Cambria Math"/>
                <w:sz w:val="22"/>
              </w:rPr>
              <m:t>X</m:t>
            </m:r>
          </m:e>
          <m:sub>
            <m:r>
              <m:rPr>
                <m:sty m:val="p"/>
              </m:rPr>
              <w:rPr>
                <w:rFonts w:ascii="Cambria Math" w:hAnsi="Cambria Math"/>
                <w:sz w:val="22"/>
              </w:rPr>
              <m:t>raw</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j</m:t>
            </m:r>
          </m:sub>
        </m:sSub>
        <m:r>
          <w:rPr>
            <w:rFonts w:ascii="Cambria Math" w:hAnsi="Cambria Math"/>
            <w:sz w:val="22"/>
          </w:rPr>
          <m:t> = A(u,j);   </m:t>
        </m:r>
        <m:sSub>
          <m:e>
            <m:r>
              <w:rPr>
                <w:rFonts w:ascii="Cambria Math" w:hAnsi="Cambria Math"/>
                <w:sz w:val="22"/>
              </w:rPr>
              <m:t>X</m:t>
            </m:r>
          </m:e>
          <m:sub>
            <m:r>
              <m:rPr>
                <m:sty m:val="p"/>
              </m:rPr>
              <w:rPr>
                <w:rFonts w:ascii="Cambria Math" w:hAnsi="Cambria Math"/>
                <w:sz w:val="22"/>
              </w:rPr>
              <m:t>ctr</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j</m:t>
            </m:r>
          </m:sub>
        </m:sSub>
        <m:r>
          <w:rPr>
            <w:rFonts w:ascii="Cambria Math" w:hAnsi="Cambria Math"/>
            <w:sz w:val="22"/>
          </w:rPr>
          <m:t> = A(u,j) − </m:t>
        </m:r>
        <m:f>
          <m:num>
            <m:nary>
              <m:naryPr>
                <m:chr m:val="∑"/>
                <m:limLoc m:val="undOvr"/>
              </m:naryPr>
              <m:sub>
                <m:r>
                  <w:rPr>
                    <w:rFonts w:ascii="Cambria Math" w:hAnsi="Cambria Math"/>
                    <w:sz w:val="22"/>
                  </w:rPr>
                  <m:t>l=1</m:t>
                </m:r>
              </m:sub>
              <m:sup>
                <m:r>
                  <w:rPr>
                    <w:rFonts w:ascii="Cambria Math" w:hAnsi="Cambria Math"/>
                    <w:sz w:val="22"/>
                  </w:rPr>
                  <m:t>K</m:t>
                </m:r>
              </m:sup>
              <m:e>
                <m:r>
                  <w:rPr>
                    <w:rFonts w:ascii="Cambria Math" w:hAnsi="Cambria Math"/>
                    <w:sz w:val="22"/>
                  </w:rPr>
                  <m:t>A(u,l)</m:t>
                </m:r>
              </m:e>
            </m:nary>
          </m:num>
          <m:den>
            <m:r>
              <w:rPr>
                <w:rFonts w:ascii="Cambria Math" w:hAnsi="Cambria Math"/>
                <w:sz w:val="22"/>
              </w:rPr>
              <m:t>K</m:t>
            </m:r>
          </m:den>
        </m:f>
      </m:oMath>
      <w:r>
        <w:tab/>
      </w:r>
      <w:r>
        <w:rPr>
          <w:rFonts w:ascii="Times New Roman" w:hAnsi="Times New Roman"/>
          <w:sz w:val="22"/>
        </w:rPr>
        <w:t>(15)</w:t>
      </w:r>
    </w:p>
    <w:p>
      <w:pPr>
        <w:tabs>
          <w:tab w:val="center" w:pos="4649"/>
          <w:tab w:val="right" w:pos="9298"/>
        </w:tabs>
        <w:spacing w:before="0" w:after="0" w:line="240" w:lineRule="auto"/>
      </w:pPr>
      <w:r>
        <w:tab/>
      </w:r>
      <m:oMath>
        <m:sSub>
          <m:e>
            <m:r>
              <w:rPr>
                <w:rFonts w:ascii="Cambria Math" w:hAnsi="Cambria Math"/>
                <w:sz w:val="22"/>
              </w:rPr>
              <m:t>X</m:t>
            </m:r>
          </m:e>
          <m:sub>
            <m:r>
              <m:rPr>
                <m:sty m:val="p"/>
              </m:rPr>
              <w:rPr>
                <w:rFonts w:ascii="Cambria Math" w:hAnsi="Cambria Math"/>
                <w:sz w:val="22"/>
              </w:rPr>
              <m:t>ref</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j</m:t>
            </m:r>
          </m:sub>
        </m:sSub>
        <m:r>
          <w:rPr>
            <w:rFonts w:ascii="Cambria Math" w:hAnsi="Cambria Math"/>
            <w:sz w:val="22"/>
          </w:rPr>
          <m:t> = A(u,j) − A(u,</m:t>
        </m:r>
        <m:sSub>
          <m:e>
            <m:r>
              <w:rPr>
                <w:rFonts w:ascii="Cambria Math" w:hAnsi="Cambria Math"/>
                <w:sz w:val="22"/>
              </w:rPr>
              <m:t>j</m:t>
            </m:r>
          </m:e>
          <m:sub>
            <m:r>
              <w:rPr>
                <w:rFonts w:ascii="Cambria Math" w:hAnsi="Cambria Math"/>
                <w:sz w:val="22"/>
              </w:rPr>
              <m:t>0</m:t>
            </m:r>
          </m:sub>
        </m:sSub>
        <m:r>
          <w:rPr>
            <w:rFonts w:ascii="Cambria Math" w:hAnsi="Cambria Math"/>
            <w:sz w:val="22"/>
          </w:rPr>
          <m:t>);   </m:t>
        </m:r>
        <m:sSub>
          <m:e>
            <m:r>
              <w:rPr>
                <w:rFonts w:ascii="Cambria Math" w:hAnsi="Cambria Math"/>
                <w:sz w:val="22"/>
              </w:rPr>
              <m:t>X</m:t>
            </m:r>
          </m:e>
          <m:sub>
            <m:r>
              <m:rPr>
                <m:sty m:val="p"/>
              </m:rPr>
              <w:rPr>
                <w:rFonts w:ascii="Cambria Math" w:hAnsi="Cambria Math"/>
                <w:sz w:val="22"/>
              </w:rPr>
              <m:t>rank</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j</m:t>
            </m:r>
          </m:sub>
        </m:sSub>
        <m:r>
          <w:rPr>
            <w:rFonts w:ascii="Cambria Math" w:hAnsi="Cambria Math"/>
            <w:sz w:val="22"/>
          </w:rPr>
          <m:t> = </m:t>
        </m:r>
        <m:sSub>
          <m:e>
            <m:r>
              <m:rPr>
                <m:sty m:val="p"/>
              </m:rPr>
              <w:rPr>
                <w:rFonts w:ascii="Cambria Math" w:hAnsi="Cambria Math"/>
                <w:sz w:val="22"/>
              </w:rPr>
              <m:t>rank</m:t>
            </m:r>
          </m:e>
          <m:sub>
            <m:r>
              <w:rPr>
                <w:rFonts w:ascii="Cambria Math" w:hAnsi="Cambria Math"/>
                <w:sz w:val="22"/>
              </w:rPr>
              <m:t>j</m:t>
            </m:r>
          </m:sub>
        </m:sSub>
        <m:r>
          <w:rPr>
            <w:rFonts w:ascii="Cambria Math" w:hAnsi="Cambria Math"/>
            <w:sz w:val="22"/>
          </w:rPr>
          <m:t>{A(u,j)}</m:t>
        </m:r>
      </m:oMath>
      <w:r>
        <w:tab/>
      </w:r>
      <w:r>
        <w:rPr>
          <w:rFonts w:ascii="Times New Roman" w:hAnsi="Times New Roman"/>
          <w:sz w:val="22"/>
        </w:rPr>
        <w:t>(16)</w:t>
      </w:r>
    </w:p>
    <w:p>
      <w:pPr>
        <w:tabs>
          <w:tab w:val="center" w:pos="4649"/>
          <w:tab w:val="right" w:pos="9298"/>
        </w:tabs>
        <w:spacing w:before="0" w:after="0" w:line="240" w:lineRule="auto"/>
      </w:pPr>
      <w:r>
        <w:tab/>
      </w:r>
      <m:oMath>
        <m:sSub>
          <m:e>
            <m:r>
              <w:rPr>
                <w:rFonts w:ascii="Cambria Math" w:hAnsi="Cambria Math"/>
                <w:sz w:val="22"/>
              </w:rPr>
              <m:t>Σ</m:t>
            </m:r>
          </m:e>
          <m:sub>
            <m:r>
              <m:rPr>
                <m:sty m:val="p"/>
              </m:rPr>
              <w:rPr>
                <w:rFonts w:ascii="Cambria Math" w:hAnsi="Cambria Math"/>
                <w:sz w:val="22"/>
              </w:rPr>
              <m:t>LW</m:t>
            </m:r>
          </m:sub>
        </m:sSub>
        <m:r>
          <w:rPr>
            <w:rFonts w:ascii="Cambria Math" w:hAnsi="Cambria Math"/>
            <w:sz w:val="22"/>
          </w:rPr>
          <m:t> = (1 − α)</m:t>
        </m:r>
        <m:sSub>
          <m:e>
            <m:r>
              <w:rPr>
                <w:rFonts w:ascii="Cambria Math" w:hAnsi="Cambria Math"/>
                <w:sz w:val="22"/>
              </w:rPr>
              <m:t>S</m:t>
            </m:r>
          </m:e>
          <m:sub>
            <m:r>
              <m:rPr>
                <m:sty m:val="p"/>
              </m:rPr>
              <w:rPr>
                <w:rFonts w:ascii="Cambria Math" w:hAnsi="Cambria Math"/>
                <w:sz w:val="22"/>
              </w:rPr>
              <m:t>cov</m:t>
            </m:r>
          </m:sub>
        </m:sSub>
        <m:r>
          <w:rPr>
            <w:rFonts w:ascii="Cambria Math" w:hAnsi="Cambria Math"/>
            <w:sz w:val="22"/>
          </w:rPr>
          <m:t> + αT</m:t>
        </m:r>
      </m:oMath>
      <w:r>
        <w:tab/>
      </w:r>
      <w:r>
        <w:rPr>
          <w:rFonts w:ascii="Times New Roman" w:hAnsi="Times New Roman"/>
          <w:sz w:val="22"/>
        </w:rPr>
        <w:t>(17a)</w:t>
      </w:r>
    </w:p>
    <w:p>
      <w:pPr>
        <w:tabs>
          <w:tab w:val="center" w:pos="4649"/>
          <w:tab w:val="right" w:pos="9298"/>
        </w:tabs>
        <w:spacing w:before="0" w:after="0" w:line="240" w:lineRule="auto"/>
      </w:pPr>
      <w:r>
        <w:tab/>
      </w:r>
      <m:oMath>
        <m:sSub>
          <m:e>
            <m:r>
              <w:rPr>
                <w:rFonts w:ascii="Cambria Math" w:hAnsi="Cambria Math"/>
                <w:sz w:val="22"/>
              </w:rPr>
              <m:t>p</m:t>
            </m:r>
          </m:e>
          <m:sub>
            <m:r>
              <w:rPr>
                <w:rFonts w:ascii="Cambria Math" w:hAnsi="Cambria Math"/>
                <w:sz w:val="22"/>
              </w:rPr>
              <m:t>i</m:t>
            </m:r>
          </m:sub>
        </m:sSub>
        <m:r>
          <w:rPr>
            <w:rFonts w:ascii="Cambria Math" w:hAnsi="Cambria Math"/>
            <w:sz w:val="22"/>
          </w:rPr>
          <m:t> = </m:t>
        </m:r>
        <m:f>
          <m:num>
            <m:sSub>
              <m:e>
                <m:r>
                  <w:rPr>
                    <w:rFonts w:ascii="Cambria Math" w:hAnsi="Cambria Math"/>
                    <w:sz w:val="22"/>
                  </w:rPr>
                  <m:t>λ</m:t>
                </m:r>
              </m:e>
              <m:sub>
                <m:r>
                  <w:rPr>
                    <w:rFonts w:ascii="Cambria Math" w:hAnsi="Cambria Math"/>
                    <w:sz w:val="22"/>
                  </w:rPr>
                  <m:t>i</m:t>
                </m:r>
              </m:sub>
            </m:sSub>
          </m:num>
          <m:den>
            <m:nary>
              <m:naryPr>
                <m:chr m:val="∑"/>
                <m:limLoc m:val="undOvr"/>
                <m:supHide m:val="1"/>
              </m:naryPr>
              <m:sub>
                <m:r>
                  <w:rPr>
                    <w:rFonts w:ascii="Cambria Math" w:hAnsi="Cambria Math"/>
                    <w:sz w:val="22"/>
                  </w:rPr>
                  <m:t>l</m:t>
                </m:r>
              </m:sub>
              <m:sup>
                <m:r>
                  <w:rPr>
                    <w:rFonts w:ascii="Cambria Math" w:hAnsi="Cambria Math"/>
                    <w:sz w:val="22"/>
                  </w:rPr>
                  <m:t/>
                </m:r>
              </m:sup>
              <m:e>
                <m:sSub>
                  <m:e>
                    <m:r>
                      <w:rPr>
                        <w:rFonts w:ascii="Cambria Math" w:hAnsi="Cambria Math"/>
                        <w:sz w:val="22"/>
                      </w:rPr>
                      <m:t>λ</m:t>
                    </m:r>
                  </m:e>
                  <m:sub>
                    <m:r>
                      <w:rPr>
                        <w:rFonts w:ascii="Cambria Math" w:hAnsi="Cambria Math"/>
                        <w:sz w:val="22"/>
                      </w:rPr>
                      <m:t>l</m:t>
                    </m:r>
                  </m:sub>
                </m:sSub>
              </m:e>
            </m:nary>
          </m:den>
        </m:f>
      </m:oMath>
      <w:r>
        <w:tab/>
      </w:r>
      <w:r>
        <w:rPr>
          <w:rFonts w:ascii="Times New Roman" w:hAnsi="Times New Roman"/>
          <w:sz w:val="22"/>
        </w:rPr>
        <w:t>(17b)</w:t>
      </w:r>
    </w:p>
    <w:p>
      <w:pPr>
        <w:tabs>
          <w:tab w:val="center" w:pos="4649"/>
          <w:tab w:val="right" w:pos="9298"/>
        </w:tabs>
        <w:spacing w:before="0" w:after="0" w:line="240" w:lineRule="auto"/>
      </w:pPr>
      <w:r>
        <w:tab/>
      </w:r>
      <m:oMath>
        <m:sSub>
          <m:e>
            <m:r>
              <w:rPr>
                <w:rFonts w:ascii="Cambria Math" w:hAnsi="Cambria Math"/>
                <w:sz w:val="22"/>
              </w:rPr>
              <m:t>r</m:t>
            </m:r>
          </m:e>
          <m:sub>
            <m:r>
              <m:rPr>
                <m:sty m:val="p"/>
              </m:rPr>
              <w:rPr>
                <w:rFonts w:ascii="Cambria Math" w:hAnsi="Cambria Math"/>
                <w:sz w:val="22"/>
              </w:rPr>
              <m:t>ent</m:t>
            </m:r>
          </m:sub>
        </m:sSub>
        <m:r>
          <w:rPr>
            <w:rFonts w:ascii="Cambria Math" w:hAnsi="Cambria Math"/>
            <w:sz w:val="22"/>
          </w:rPr>
          <m:t> = </m:t>
        </m:r>
        <m:r>
          <m:rPr>
            <m:sty m:val="p"/>
          </m:rPr>
          <w:rPr>
            <w:rFonts w:ascii="Cambria Math" w:hAnsi="Cambria Math"/>
            <w:sz w:val="22"/>
          </w:rPr>
          <m:t>exp</m:t>
        </m:r>
        <m:r>
          <w:rPr>
            <w:rFonts w:ascii="Cambria Math" w:hAnsi="Cambria Math"/>
            <w:sz w:val="22"/>
          </w:rPr>
          <m:t>(</m:t>
        </m:r>
        <m:r>
          <w:rPr>
            <w:rFonts w:ascii="Cambria Math" w:hAnsi="Cambria Math"/>
            <w:sz w:val="22"/>
          </w:rPr>
          <m:t>−</m:t>
        </m:r>
        <m:nary>
          <m:naryPr>
            <m:chr m:val="∑"/>
            <m:limLoc m:val="undOvr"/>
            <m:supHide m:val="1"/>
          </m:naryPr>
          <m:sub>
            <m:r>
              <w:rPr>
                <w:rFonts w:ascii="Cambria Math" w:hAnsi="Cambria Math"/>
                <w:sz w:val="22"/>
              </w:rPr>
              <m:t>i</m:t>
            </m:r>
          </m:sub>
          <m:sup>
            <m:r>
              <w:rPr>
                <w:rFonts w:ascii="Cambria Math" w:hAnsi="Cambria Math"/>
                <w:sz w:val="22"/>
              </w:rPr>
              <m:t/>
            </m:r>
          </m:sup>
          <m:e>
            <m:sSub>
              <m:e>
                <m:r>
                  <w:rPr>
                    <w:rFonts w:ascii="Cambria Math" w:hAnsi="Cambria Math"/>
                    <w:sz w:val="22"/>
                  </w:rPr>
                  <m:t>p</m:t>
                </m:r>
              </m:e>
              <m:sub>
                <m:r>
                  <w:rPr>
                    <w:rFonts w:ascii="Cambria Math" w:hAnsi="Cambria Math"/>
                    <w:sz w:val="22"/>
                  </w:rPr>
                  <m:t>i</m:t>
                </m:r>
              </m:sub>
            </m:sSub>
            <m:r>
              <m:rPr>
                <m:sty m:val="p"/>
              </m:rPr>
              <w:rPr>
                <w:rFonts w:ascii="Cambria Math" w:hAnsi="Cambria Math"/>
                <w:sz w:val="22"/>
              </w:rPr>
              <m:t>ln</m:t>
            </m:r>
            <m:sSub>
              <m:e>
                <m:r>
                  <w:rPr>
                    <w:rFonts w:ascii="Cambria Math" w:hAnsi="Cambria Math"/>
                    <w:sz w:val="22"/>
                  </w:rPr>
                  <m:t>p</m:t>
                </m:r>
              </m:e>
              <m:sub>
                <m:r>
                  <w:rPr>
                    <w:rFonts w:ascii="Cambria Math" w:hAnsi="Cambria Math"/>
                    <w:sz w:val="22"/>
                  </w:rPr>
                  <m:t>i</m:t>
                </m:r>
              </m:sub>
            </m:sSub>
          </m:e>
        </m:nary>
        <m:r>
          <w:rPr>
            <w:rFonts w:ascii="Cambria Math" w:hAnsi="Cambria Math"/>
            <w:sz w:val="22"/>
          </w:rPr>
          <m:t>)</m:t>
        </m:r>
      </m:oMath>
      <w:r>
        <w:tab/>
      </w:r>
      <w:r>
        <w:rPr>
          <w:rFonts w:ascii="Times New Roman" w:hAnsi="Times New Roman"/>
          <w:sz w:val="22"/>
        </w:rPr>
        <w:t>(18a)</w:t>
      </w:r>
    </w:p>
    <w:p>
      <w:pPr>
        <w:tabs>
          <w:tab w:val="center" w:pos="4649"/>
          <w:tab w:val="right" w:pos="9298"/>
        </w:tabs>
        <w:spacing w:before="0" w:after="0" w:line="240" w:lineRule="auto"/>
      </w:pPr>
      <w:r>
        <w:tab/>
      </w:r>
      <m:oMath>
        <m:sSub>
          <m:e>
            <m:r>
              <w:rPr>
                <w:rFonts w:ascii="Cambria Math" w:hAnsi="Cambria Math"/>
                <w:sz w:val="22"/>
              </w:rPr>
              <m:t>r</m:t>
            </m:r>
          </m:e>
          <m:sub>
            <m:r>
              <m:rPr>
                <m:sty m:val="p"/>
              </m:rPr>
              <w:rPr>
                <w:rFonts w:ascii="Cambria Math" w:hAnsi="Cambria Math"/>
                <w:sz w:val="22"/>
              </w:rPr>
              <m:t>PR</m:t>
            </m:r>
          </m:sub>
        </m:sSub>
        <m:r>
          <w:rPr>
            <w:rFonts w:ascii="Cambria Math" w:hAnsi="Cambria Math"/>
            <w:sz w:val="22"/>
          </w:rPr>
          <m:t> = </m:t>
        </m:r>
        <m:f>
          <m:num>
            <m:sSup>
              <m:e>
                <m:d>
                  <m:dPr>
                    <m:begChr m:val="("/>
                    <m:endChr m:val=")"/>
                  </m:dPr>
                  <m:e>
                    <m:nary>
                      <m:naryPr>
                        <m:chr m:val="∑"/>
                        <m:limLoc m:val="undOvr"/>
                        <m:supHide m:val="1"/>
                      </m:naryPr>
                      <m:sub>
                        <m:r>
                          <w:rPr>
                            <w:rFonts w:ascii="Cambria Math" w:hAnsi="Cambria Math"/>
                            <w:sz w:val="22"/>
                          </w:rPr>
                          <m:t>i</m:t>
                        </m:r>
                      </m:sub>
                      <m:sup>
                        <m:r>
                          <w:rPr>
                            <w:rFonts w:ascii="Cambria Math" w:hAnsi="Cambria Math"/>
                            <w:sz w:val="22"/>
                          </w:rPr>
                          <m:t/>
                        </m:r>
                      </m:sup>
                      <m:e>
                        <m:sSub>
                          <m:e>
                            <m:r>
                              <w:rPr>
                                <w:rFonts w:ascii="Cambria Math" w:hAnsi="Cambria Math"/>
                                <w:sz w:val="22"/>
                              </w:rPr>
                              <m:t>λ</m:t>
                            </m:r>
                          </m:e>
                          <m:sub>
                            <m:r>
                              <w:rPr>
                                <w:rFonts w:ascii="Cambria Math" w:hAnsi="Cambria Math"/>
                                <w:sz w:val="22"/>
                              </w:rPr>
                              <m:t>i</m:t>
                            </m:r>
                          </m:sub>
                        </m:sSub>
                      </m:e>
                    </m:nary>
                  </m:e>
                </m:d>
              </m:e>
              <m:sup>
                <m:r>
                  <w:rPr>
                    <w:rFonts w:ascii="Cambria Math" w:hAnsi="Cambria Math"/>
                    <w:sz w:val="22"/>
                  </w:rPr>
                  <m:t>2</m:t>
                </m:r>
              </m:sup>
            </m:sSup>
          </m:num>
          <m:den>
            <m:nary>
              <m:naryPr>
                <m:chr m:val="∑"/>
                <m:limLoc m:val="undOvr"/>
                <m:supHide m:val="1"/>
              </m:naryPr>
              <m:sub>
                <m:r>
                  <w:rPr>
                    <w:rFonts w:ascii="Cambria Math" w:hAnsi="Cambria Math"/>
                    <w:sz w:val="22"/>
                  </w:rPr>
                  <m:t>i</m:t>
                </m:r>
              </m:sub>
              <m:sup>
                <m:r>
                  <w:rPr>
                    <w:rFonts w:ascii="Cambria Math" w:hAnsi="Cambria Math"/>
                    <w:sz w:val="22"/>
                  </w:rPr>
                  <m:t/>
                </m:r>
              </m:sup>
              <m:e>
                <m:sSup>
                  <m:e>
                    <m:sSub>
                      <m:e>
                        <m:r>
                          <w:rPr>
                            <w:rFonts w:ascii="Cambria Math" w:hAnsi="Cambria Math"/>
                            <w:sz w:val="22"/>
                          </w:rPr>
                          <m:t>λ</m:t>
                        </m:r>
                      </m:e>
                      <m:sub>
                        <m:r>
                          <w:rPr>
                            <w:rFonts w:ascii="Cambria Math" w:hAnsi="Cambria Math"/>
                            <w:sz w:val="22"/>
                          </w:rPr>
                          <m:t>i</m:t>
                        </m:r>
                      </m:sub>
                    </m:sSub>
                  </m:e>
                  <m:sup>
                    <m:r>
                      <w:rPr>
                        <w:rFonts w:ascii="Cambria Math" w:hAnsi="Cambria Math"/>
                        <w:sz w:val="22"/>
                      </w:rPr>
                      <m:t>2</m:t>
                    </m:r>
                  </m:sup>
                </m:sSup>
              </m:e>
            </m:nary>
          </m:den>
        </m:f>
        <m:r>
          <w:rPr>
            <w:rFonts w:ascii="Cambria Math" w:hAnsi="Cambria Math"/>
            <w:sz w:val="22"/>
          </w:rPr>
          <m:t> = </m:t>
        </m:r>
        <m:f>
          <m:num>
            <m:r>
              <w:rPr>
                <w:rFonts w:ascii="Cambria Math" w:hAnsi="Cambria Math"/>
                <w:sz w:val="22"/>
              </w:rPr>
              <m:t>1</m:t>
            </m:r>
          </m:num>
          <m:den>
            <m:nary>
              <m:naryPr>
                <m:chr m:val="∑"/>
                <m:limLoc m:val="undOvr"/>
                <m:supHide m:val="1"/>
              </m:naryPr>
              <m:sub>
                <m:r>
                  <w:rPr>
                    <w:rFonts w:ascii="Cambria Math" w:hAnsi="Cambria Math"/>
                    <w:sz w:val="22"/>
                  </w:rPr>
                  <m:t>i</m:t>
                </m:r>
              </m:sub>
              <m:sup>
                <m:r>
                  <w:rPr>
                    <w:rFonts w:ascii="Cambria Math" w:hAnsi="Cambria Math"/>
                    <w:sz w:val="22"/>
                  </w:rPr>
                  <m:t/>
                </m:r>
              </m:sup>
              <m:e>
                <m:sSup>
                  <m:e>
                    <m:sSub>
                      <m:e>
                        <m:r>
                          <w:rPr>
                            <w:rFonts w:ascii="Cambria Math" w:hAnsi="Cambria Math"/>
                            <w:sz w:val="22"/>
                          </w:rPr>
                          <m:t>p</m:t>
                        </m:r>
                      </m:e>
                      <m:sub>
                        <m:r>
                          <w:rPr>
                            <w:rFonts w:ascii="Cambria Math" w:hAnsi="Cambria Math"/>
                            <w:sz w:val="22"/>
                          </w:rPr>
                          <m:t>i</m:t>
                        </m:r>
                      </m:sub>
                    </m:sSub>
                  </m:e>
                  <m:sup>
                    <m:r>
                      <w:rPr>
                        <w:rFonts w:ascii="Cambria Math" w:hAnsi="Cambria Math"/>
                        <w:sz w:val="22"/>
                      </w:rPr>
                      <m:t>2</m:t>
                    </m:r>
                  </m:sup>
                </m:sSup>
              </m:e>
            </m:nary>
          </m:den>
        </m:f>
      </m:oMath>
      <w:r>
        <w:tab/>
      </w:r>
      <w:r>
        <w:rPr>
          <w:rFonts w:ascii="Times New Roman" w:hAnsi="Times New Roman"/>
          <w:sz w:val="22"/>
        </w:rPr>
        <w:t>(18b)</w:t>
      </w:r>
    </w:p>
    <w:p>
      <w:pPr>
        <w:pStyle w:val="5"/>
        <w:spacing w:after="0" w:line="480" w:lineRule="auto" w:before="0"/>
      </w:pPr>
      <w:r>
        <w:rPr>
          <w:rFonts w:ascii="Times New Roman" w:hAnsi="Times New Roman" w:eastAsia="SimSun"/>
          <w:sz w:val="24"/>
        </w:rPr>
        <w:t>Composition and normalization</w:t>
      </w:r>
    </w:p>
    <w:p>
      <w:pPr>
        <w:spacing w:line="480" w:lineRule="auto" w:before="0" w:after="0"/>
      </w:pPr>
      <w:r>
        <w:rPr>
          <w:rFonts w:ascii="Times New Roman" w:hAnsi="Times New Roman" w:eastAsia="SimSun"/>
          <w:sz w:val="24"/>
        </w:rPr>
        <w:t>The label hom denotes the homogeneous Morgan pool; complete downstream-efficiency and Pareto definitions are provided in Supplementary Methods. Equations (19a)–(22b) define the composition contrasts, normalized gains and normalized selection entropy.</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best</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r>
          <w:rPr>
            <w:rFonts w:ascii="Cambria Math" w:hAnsi="Cambria Math"/>
            <w:sz w:val="22"/>
          </w:rPr>
          <m:t> = </m:t>
        </m:r>
        <m:limLow>
          <m:e>
            <m:r>
              <m:rPr>
                <m:sty m:val="p"/>
              </m:rPr>
              <w:rPr>
                <w:rFonts w:ascii="Cambria Math" w:hAnsi="Cambria Math"/>
                <w:sz w:val="22"/>
              </w:rPr>
              <m:t>max</m:t>
            </m:r>
          </m:e>
          <m:lim>
            <m:r>
              <w:rPr>
                <w:rFonts w:ascii="Cambria Math" w:hAnsi="Cambria Math"/>
                <w:sz w:val="22"/>
              </w:rPr>
              <m:t>j ∈ </m:t>
            </m:r>
            <m:sSub>
              <m:e>
                <m:r>
                  <w:rPr>
                    <w:rFonts w:ascii="Cambria Math" w:hAnsi="Cambria Math"/>
                    <w:sz w:val="22"/>
                  </w:rPr>
                  <m:t>C</m:t>
                </m:r>
              </m:e>
              <m:sub>
                <m:r>
                  <w:rPr>
                    <w:rFonts w:ascii="Cambria Math" w:hAnsi="Cambria Math"/>
                    <w:sz w:val="22"/>
                  </w:rPr>
                  <m:t>p,K</m:t>
                </m:r>
              </m:sub>
            </m:sSub>
          </m:lim>
        </m:limLow>
        <m:r>
          <w:rPr>
            <w:rFonts w:ascii="Cambria Math" w:hAnsi="Cambria Math"/>
            <w:sz w:val="22"/>
          </w:rPr>
          <m:t>A(u,j)</m:t>
        </m:r>
        <m:r>
          <w:rPr>
            <w:rFonts w:ascii="Cambria Math" w:hAnsi="Cambria Math"/>
            <w:sz w:val="22"/>
          </w:rPr>
          <m:t> − A(u,a)</m:t>
        </m:r>
      </m:oMath>
      <w:r>
        <w:tab/>
      </w:r>
      <w:r>
        <w:rPr>
          <w:rFonts w:ascii="Times New Roman" w:hAnsi="Times New Roman"/>
          <w:sz w:val="22"/>
        </w:rPr>
        <w:t>(19a)</w:t>
      </w:r>
    </w:p>
    <w:p>
      <w:pPr>
        <w:tabs>
          <w:tab w:val="center" w:pos="4649"/>
          <w:tab w:val="right" w:pos="9298"/>
        </w:tabs>
        <w:spacing w:before="0" w:after="0" w:line="240" w:lineRule="auto"/>
      </w:pPr>
      <w:r>
        <w:tab/>
      </w:r>
      <m:oMath>
        <m:sSub>
          <m:e>
            <m:r>
              <w:rPr>
                <w:rFonts w:ascii="Cambria Math" w:hAnsi="Cambria Math"/>
                <w:sz w:val="22"/>
              </w:rPr>
              <m:t>G</m:t>
            </m:r>
          </m:e>
          <m:sub>
            <m:r>
              <m:rPr>
                <m:sty m:val="p"/>
              </m:rPr>
              <w:rPr>
                <w:rFonts w:ascii="Cambria Math" w:hAnsi="Cambria Math"/>
                <w:sz w:val="22"/>
              </w:rPr>
              <m:t>sel</m:t>
            </m:r>
            <m:r>
              <w:rPr>
                <w:rFonts w:ascii="Cambria Math" w:hAnsi="Cambria Math"/>
                <w:sz w:val="22"/>
              </w:rPr>
              <m:t>,</m:t>
            </m:r>
            <m:r>
              <w:rPr>
                <w:rFonts w:ascii="Cambria Math" w:hAnsi="Cambria Math"/>
                <w:sz w:val="22"/>
              </w:rPr>
              <m:t>u</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r>
          <w:rPr>
            <w:rFonts w:ascii="Cambria Math" w:hAnsi="Cambria Math"/>
            <w:sz w:val="22"/>
          </w:rPr>
          <m:t> = A(u,</m:t>
        </m:r>
        <m:sSub>
          <m:e>
            <m:r>
              <w:rPr>
                <w:rFonts w:ascii="Cambria Math" w:hAnsi="Cambria Math"/>
                <w:sz w:val="22"/>
              </w:rPr>
              <m:t>j</m:t>
            </m:r>
          </m:e>
          <m:sub>
            <m:r>
              <w:rPr>
                <w:rFonts w:ascii="Cambria Math" w:hAnsi="Cambria Math"/>
                <w:sz w:val="22"/>
              </w:rPr>
              <m:t>u,p,K</m:t>
            </m:r>
          </m:sub>
        </m:sSub>
        <m:r>
          <w:rPr>
            <w:rFonts w:ascii="Cambria Math" w:hAnsi="Cambria Math"/>
            <w:sz w:val="22"/>
          </w:rPr>
          <m:t>) − A(u,a)</m:t>
        </m:r>
      </m:oMath>
      <w:r>
        <w:tab/>
      </w:r>
      <w:r>
        <w:rPr>
          <w:rFonts w:ascii="Times New Roman" w:hAnsi="Times New Roman"/>
          <w:sz w:val="22"/>
        </w:rPr>
        <w:t>(19b)</w:t>
      </w:r>
    </w:p>
    <w:p>
      <w:pPr>
        <w:spacing w:line="480" w:lineRule="auto" w:before="0" w:after="0"/>
      </w:pPr>
    </w:p>
    <w:p>
      <w:pPr>
        <w:tabs>
          <w:tab w:val="center" w:pos="4649"/>
          <w:tab w:val="right" w:pos="9298"/>
        </w:tabs>
        <w:spacing w:before="0" w:after="0" w:line="240" w:lineRule="auto"/>
      </w:pPr>
      <w:r>
        <w:tab/>
      </w:r>
      <m:oMath>
        <m:sSub>
          <m:e>
            <m:acc>
              <m:accPr>
                <m:chr m:val="¯"/>
              </m:accPr>
              <m:e>
                <m:r>
                  <w:rPr>
                    <w:rFonts w:ascii="Cambria Math" w:hAnsi="Cambria Math"/>
                    <w:sz w:val="22"/>
                  </w:rPr>
                  <m:t>G</m:t>
                </m:r>
              </m:e>
            </m:acc>
          </m:e>
          <m:sub>
            <m:r>
              <m:rPr>
                <m:sty m:val="p"/>
              </m:rPr>
              <w:rPr>
                <w:rFonts w:ascii="Cambria Math" w:hAnsi="Cambria Math"/>
                <w:sz w:val="22"/>
              </w:rPr>
              <m:t>sel</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r>
          <w:rPr>
            <w:rFonts w:ascii="Cambria Math" w:hAnsi="Cambria Math"/>
            <w:sz w:val="22"/>
          </w:rPr>
          <m:t> = </m:t>
        </m:r>
        <m:f>
          <m:num>
            <m:nary>
              <m:naryPr>
                <m:chr m:val="∑"/>
                <m:limLoc m:val="undOvr"/>
                <m:supHide m:val="1"/>
              </m:naryPr>
              <m:sub>
                <m:r>
                  <w:rPr>
                    <w:rFonts w:ascii="Cambria Math" w:hAnsi="Cambria Math"/>
                    <w:sz w:val="22"/>
                  </w:rPr>
                  <m:t>s,f</m:t>
                </m:r>
              </m:sub>
              <m:sup>
                <m:r>
                  <w:rPr>
                    <w:rFonts w:ascii="Cambria Math" w:hAnsi="Cambria Math"/>
                    <w:sz w:val="22"/>
                  </w:rPr>
                  <m:t/>
                </m:r>
              </m:sup>
              <m:e>
                <m:f>
                  <m:num>
                    <m:sSub>
                      <m:e>
                        <m:r>
                          <w:rPr>
                            <w:rFonts w:ascii="Cambria Math" w:hAnsi="Cambria Math"/>
                            <w:sz w:val="22"/>
                          </w:rPr>
                          <m:t>G</m:t>
                        </m:r>
                      </m:e>
                      <m:sub>
                        <m:r>
                          <m:rPr>
                            <m:sty m:val="p"/>
                          </m:rPr>
                          <w:rPr>
                            <w:rFonts w:ascii="Cambria Math" w:hAnsi="Cambria Math"/>
                            <w:sz w:val="22"/>
                          </w:rPr>
                          <m:t>sel</m:t>
                        </m:r>
                        <m:r>
                          <w:rPr>
                            <w:rFonts w:ascii="Cambria Math" w:hAnsi="Cambria Math"/>
                            <w:sz w:val="22"/>
                          </w:rPr>
                          <m:t>,</m:t>
                        </m:r>
                        <m:r>
                          <w:rPr>
                            <w:rFonts w:ascii="Cambria Math" w:hAnsi="Cambria Math"/>
                            <w:sz w:val="22"/>
                          </w:rPr>
                          <m:t>s</m:t>
                        </m:r>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num>
                  <m:den>
                    <m:sSub>
                      <m:e>
                        <m:r>
                          <w:rPr>
                            <w:rFonts w:ascii="Cambria Math" w:hAnsi="Cambria Math"/>
                            <w:sz w:val="22"/>
                          </w:rPr>
                          <m:t>G</m:t>
                        </m:r>
                      </m:e>
                      <m:sub>
                        <m:r>
                          <m:rPr>
                            <m:sty m:val="p"/>
                          </m:rPr>
                          <w:rPr>
                            <w:rFonts w:ascii="Cambria Math" w:hAnsi="Cambria Math"/>
                            <w:sz w:val="22"/>
                          </w:rPr>
                          <m:t>best</m:t>
                        </m:r>
                        <m:r>
                          <w:rPr>
                            <w:rFonts w:ascii="Cambria Math" w:hAnsi="Cambria Math"/>
                            <w:sz w:val="22"/>
                          </w:rPr>
                          <m:t>,</m:t>
                        </m:r>
                        <m:r>
                          <w:rPr>
                            <w:rFonts w:ascii="Cambria Math" w:hAnsi="Cambria Math"/>
                            <w:sz w:val="22"/>
                          </w:rPr>
                          <m:t>s</m:t>
                        </m:r>
                        <m:r>
                          <w:rPr>
                            <w:rFonts w:ascii="Cambria Math" w:hAnsi="Cambria Math"/>
                            <w:sz w:val="22"/>
                          </w:rPr>
                          <m:t>,</m:t>
                        </m:r>
                        <m:r>
                          <w:rPr>
                            <w:rFonts w:ascii="Cambria Math" w:hAnsi="Cambria Math"/>
                            <w:sz w:val="22"/>
                          </w:rPr>
                          <m:t>f</m:t>
                        </m:r>
                        <m:r>
                          <w:rPr>
                            <w:rFonts w:ascii="Cambria Math" w:hAnsi="Cambria Math"/>
                            <w:sz w:val="22"/>
                          </w:rPr>
                          <m:t>,</m:t>
                        </m:r>
                        <m:r>
                          <m:rPr>
                            <m:sty m:val="p"/>
                          </m:rPr>
                          <w:rPr>
                            <w:rFonts w:ascii="Cambria Math" w:hAnsi="Cambria Math"/>
                            <w:sz w:val="22"/>
                          </w:rPr>
                          <m:t>hom</m:t>
                        </m:r>
                        <m:r>
                          <w:rPr>
                            <w:rFonts w:ascii="Cambria Math" w:hAnsi="Cambria Math"/>
                            <w:sz w:val="22"/>
                          </w:rPr>
                          <m:t>,</m:t>
                        </m:r>
                        <m:r>
                          <w:rPr>
                            <w:rFonts w:ascii="Cambria Math" w:hAnsi="Cambria Math"/>
                            <w:sz w:val="22"/>
                          </w:rPr>
                          <m:t>K</m:t>
                        </m:r>
                      </m:sub>
                    </m:sSub>
                  </m:den>
                </m:f>
              </m:e>
            </m:nary>
          </m:num>
          <m:den>
            <m:r>
              <w:rPr>
                <w:rFonts w:ascii="Cambria Math" w:hAnsi="Cambria Math"/>
                <w:sz w:val="22"/>
              </w:rPr>
              <m:t>SF</m:t>
            </m:r>
          </m:den>
        </m:f>
      </m:oMath>
      <w:r>
        <w:tab/>
      </w:r>
      <w:r>
        <w:rPr>
          <w:rFonts w:ascii="Times New Roman" w:hAnsi="Times New Roman"/>
          <w:sz w:val="22"/>
        </w:rPr>
        <w:t>(20a)</w:t>
      </w:r>
    </w:p>
    <w:p>
      <w:pPr>
        <w:tabs>
          <w:tab w:val="center" w:pos="4649"/>
          <w:tab w:val="right" w:pos="9298"/>
        </w:tabs>
        <w:spacing w:before="0" w:after="0" w:line="240" w:lineRule="auto"/>
      </w:pPr>
      <w:r>
        <w:tab/>
      </w:r>
      <m:oMath>
        <m:sSub>
          <m:e>
            <m:r>
              <w:rPr>
                <w:rFonts w:ascii="Cambria Math" w:hAnsi="Cambria Math"/>
                <w:sz w:val="22"/>
              </w:rPr>
              <m:t>d</m:t>
            </m:r>
          </m:e>
          <m:sub>
            <m:r>
              <m:rPr>
                <m:sty m:val="p"/>
              </m:rPr>
              <w:rPr>
                <w:rFonts w:ascii="Cambria Math" w:hAnsi="Cambria Math"/>
                <w:sz w:val="22"/>
              </w:rPr>
              <m:t>rel</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r>
          <w:rPr>
            <w:rFonts w:ascii="Cambria Math" w:hAnsi="Cambria Math"/>
            <w:sz w:val="22"/>
          </w:rPr>
          <m:t> = </m:t>
        </m:r>
        <m:f>
          <m:num>
            <m:sSub>
              <m:e>
                <m:r>
                  <w:rPr>
                    <w:rFonts w:ascii="Cambria Math" w:hAnsi="Cambria Math"/>
                    <w:sz w:val="22"/>
                  </w:rPr>
                  <m:t>r</m:t>
                </m:r>
              </m:e>
              <m:sub>
                <m:r>
                  <m:rPr>
                    <m:sty m:val="p"/>
                  </m:rPr>
                  <w:rPr>
                    <w:rFonts w:ascii="Cambria Math" w:hAnsi="Cambria Math"/>
                    <w:sz w:val="22"/>
                  </w:rPr>
                  <m:t>ent</m:t>
                </m:r>
              </m:sub>
            </m:sSub>
            <m:r>
              <w:rPr>
                <w:rFonts w:ascii="Cambria Math" w:hAnsi="Cambria Math"/>
                <w:sz w:val="22"/>
              </w:rPr>
              <m:t>(</m:t>
            </m:r>
            <m:sSub>
              <m:e>
                <m:r>
                  <w:rPr>
                    <w:rFonts w:ascii="Cambria Math" w:hAnsi="Cambria Math"/>
                    <w:sz w:val="22"/>
                  </w:rPr>
                  <m:t>X</m:t>
                </m:r>
              </m:e>
              <m:sub>
                <m:r>
                  <w:rPr>
                    <w:rFonts w:ascii="Cambria Math" w:hAnsi="Cambria Math"/>
                    <w:sz w:val="22"/>
                  </w:rPr>
                  <m:t>e,p,K</m:t>
                </m:r>
              </m:sub>
            </m:sSub>
            <m:r>
              <w:rPr>
                <w:rFonts w:ascii="Cambria Math" w:hAnsi="Cambria Math"/>
                <w:sz w:val="22"/>
              </w:rPr>
              <m:t>)</m:t>
            </m:r>
          </m:num>
          <m:den>
            <m:r>
              <w:rPr>
                <w:rFonts w:ascii="Cambria Math" w:hAnsi="Cambria Math"/>
                <w:sz w:val="22"/>
              </w:rPr>
              <m:t>K</m:t>
            </m:r>
          </m:den>
        </m:f>
      </m:oMath>
      <w:r>
        <w:tab/>
      </w:r>
      <w:r>
        <w:rPr>
          <w:rFonts w:ascii="Times New Roman" w:hAnsi="Times New Roman"/>
          <w:sz w:val="22"/>
        </w:rPr>
        <w:t>(20b)</w:t>
      </w:r>
    </w:p>
    <w:p>
      <w:pPr>
        <w:spacing w:line="480" w:lineRule="auto" w:before="0" w:after="0"/>
      </w:pPr>
    </w:p>
    <w:p>
      <w:pPr>
        <w:tabs>
          <w:tab w:val="center" w:pos="4649"/>
          <w:tab w:val="right" w:pos="9298"/>
        </w:tabs>
        <w:spacing w:before="0" w:after="0" w:line="240" w:lineRule="auto"/>
      </w:pPr>
      <w:r>
        <w:tab/>
      </w:r>
      <m:oMath>
        <m:sSub>
          <m:e>
            <m:r>
              <w:rPr>
                <w:rFonts w:ascii="Cambria Math" w:hAnsi="Cambria Math"/>
                <w:sz w:val="22"/>
              </w:rPr>
              <m:t>L</m:t>
            </m:r>
          </m:e>
          <m:sub>
            <m:r>
              <m:rPr>
                <m:sty m:val="p"/>
              </m:rPr>
              <w:rPr>
                <w:rFonts w:ascii="Cambria Math" w:hAnsi="Cambria Math"/>
                <w:sz w:val="22"/>
              </w:rPr>
              <m:t>CF</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p</m:t>
            </m:r>
            <m:r>
              <w:rPr>
                <w:rFonts w:ascii="Cambria Math" w:hAnsi="Cambria Math"/>
                <w:sz w:val="22"/>
              </w:rPr>
              <m:t>,</m:t>
            </m:r>
            <m:r>
              <w:rPr>
                <w:rFonts w:ascii="Cambria Math" w:hAnsi="Cambria Math"/>
                <w:sz w:val="22"/>
              </w:rPr>
              <m:t>K</m:t>
            </m:r>
          </m:sub>
        </m:sSub>
        <m:r>
          <w:rPr>
            <w:rFonts w:ascii="Cambria Math" w:hAnsi="Cambria Math"/>
            <w:sz w:val="22"/>
          </w:rPr>
          <m:t> = </m:t>
        </m:r>
        <m:f>
          <m:num>
            <m:nary>
              <m:naryPr>
                <m:chr m:val="∑"/>
                <m:limLoc m:val="undOvr"/>
                <m:supHide m:val="1"/>
              </m:naryPr>
              <m:sub>
                <m:r>
                  <w:rPr>
                    <w:rFonts w:ascii="Cambria Math" w:hAnsi="Cambria Math"/>
                    <w:sz w:val="22"/>
                  </w:rPr>
                  <m:t>s,f</m:t>
                </m:r>
              </m:sub>
              <m:sup>
                <m:r>
                  <w:rPr>
                    <w:rFonts w:ascii="Cambria Math" w:hAnsi="Cambria Math"/>
                    <w:sz w:val="22"/>
                  </w:rPr>
                  <m:t/>
                </m:r>
              </m:sup>
              <m:e>
                <m:f>
                  <m:num>
                    <m:r>
                      <w:rPr>
                        <w:rFonts w:ascii="Cambria Math" w:hAnsi="Cambria Math"/>
                        <w:sz w:val="22"/>
                      </w:rPr>
                      <m:t>A(s,f,</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 − A(s,f,</m:t>
                    </m:r>
                    <m:sSub>
                      <m:e>
                        <m:r>
                          <w:rPr>
                            <w:rFonts w:ascii="Cambria Math" w:hAnsi="Cambria Math"/>
                            <w:sz w:val="22"/>
                          </w:rPr>
                          <m:t>j</m:t>
                        </m:r>
                      </m:e>
                      <m:sub>
                        <m:r>
                          <w:rPr>
                            <w:rFonts w:ascii="Cambria Math" w:hAnsi="Cambria Math"/>
                            <w:sz w:val="22"/>
                          </w:rPr>
                          <m:t>s,f</m:t>
                        </m:r>
                      </m:sub>
                    </m:sSub>
                    <m:r>
                      <w:rPr>
                        <w:rFonts w:ascii="Cambria Math" w:hAnsi="Cambria Math"/>
                        <w:sz w:val="22"/>
                      </w:rPr>
                      <m:t>)</m:t>
                    </m:r>
                  </m:num>
                  <m:den>
                    <m:sSub>
                      <m:e>
                        <m:r>
                          <w:rPr>
                            <w:rFonts w:ascii="Cambria Math" w:hAnsi="Cambria Math"/>
                            <w:sz w:val="22"/>
                          </w:rPr>
                          <m:t>G</m:t>
                        </m:r>
                      </m:e>
                      <m:sub>
                        <m:r>
                          <m:rPr>
                            <m:sty m:val="p"/>
                          </m:rPr>
                          <w:rPr>
                            <w:rFonts w:ascii="Cambria Math" w:hAnsi="Cambria Math"/>
                            <w:sz w:val="22"/>
                          </w:rPr>
                          <m:t>best</m:t>
                        </m:r>
                        <m:r>
                          <w:rPr>
                            <w:rFonts w:ascii="Cambria Math" w:hAnsi="Cambria Math"/>
                            <w:sz w:val="22"/>
                          </w:rPr>
                          <m:t>,</m:t>
                        </m:r>
                        <m:r>
                          <w:rPr>
                            <w:rFonts w:ascii="Cambria Math" w:hAnsi="Cambria Math"/>
                            <w:sz w:val="22"/>
                          </w:rPr>
                          <m:t>s</m:t>
                        </m:r>
                        <m:r>
                          <w:rPr>
                            <w:rFonts w:ascii="Cambria Math" w:hAnsi="Cambria Math"/>
                            <w:sz w:val="22"/>
                          </w:rPr>
                          <m:t>,</m:t>
                        </m:r>
                        <m:r>
                          <w:rPr>
                            <w:rFonts w:ascii="Cambria Math" w:hAnsi="Cambria Math"/>
                            <w:sz w:val="22"/>
                          </w:rPr>
                          <m:t>f</m:t>
                        </m:r>
                        <m:r>
                          <w:rPr>
                            <w:rFonts w:ascii="Cambria Math" w:hAnsi="Cambria Math"/>
                            <w:sz w:val="22"/>
                          </w:rPr>
                          <m:t>,</m:t>
                        </m:r>
                        <m:r>
                          <m:rPr>
                            <m:sty m:val="p"/>
                          </m:rPr>
                          <w:rPr>
                            <w:rFonts w:ascii="Cambria Math" w:hAnsi="Cambria Math"/>
                            <w:sz w:val="22"/>
                          </w:rPr>
                          <m:t>hom</m:t>
                        </m:r>
                        <m:r>
                          <w:rPr>
                            <w:rFonts w:ascii="Cambria Math" w:hAnsi="Cambria Math"/>
                            <w:sz w:val="22"/>
                          </w:rPr>
                          <m:t>,</m:t>
                        </m:r>
                        <m:r>
                          <w:rPr>
                            <w:rFonts w:ascii="Cambria Math" w:hAnsi="Cambria Math"/>
                            <w:sz w:val="22"/>
                          </w:rPr>
                          <m:t>K</m:t>
                        </m:r>
                      </m:sub>
                    </m:sSub>
                  </m:den>
                </m:f>
              </m:e>
            </m:nary>
          </m:num>
          <m:den>
            <m:r>
              <w:rPr>
                <w:rFonts w:ascii="Cambria Math" w:hAnsi="Cambria Math"/>
                <w:sz w:val="22"/>
              </w:rPr>
              <m:t>SF</m:t>
            </m:r>
          </m:den>
        </m:f>
      </m:oMath>
      <w:r>
        <w:tab/>
      </w:r>
      <w:r>
        <w:rPr>
          <w:rFonts w:ascii="Times New Roman" w:hAnsi="Times New Roman"/>
          <w:sz w:val="22"/>
        </w:rPr>
        <w:t>(21)</w:t>
      </w:r>
    </w:p>
    <w:p>
      <w:pPr>
        <w:pStyle w:val="5"/>
        <w:spacing w:after="0" w:line="480" w:lineRule="auto" w:before="0"/>
      </w:pPr>
      <w:r>
        <w:rPr>
          <w:rFonts w:ascii="Times New Roman" w:hAnsi="Times New Roman" w:eastAsia="SimSun"/>
          <w:sz w:val="24"/>
        </w:rPr>
        <w:t>Selection stability</w:t>
      </w:r>
    </w:p>
    <w:p>
      <w:pPr>
        <w:spacing w:line="480" w:lineRule="auto" w:before="0" w:after="0"/>
      </w:pPr>
      <w:r>
        <w:rPr>
          <w:rFonts w:ascii="Times New Roman" w:hAnsi="Times New Roman" w:eastAsia="SimSun"/>
          <w:sz w:val="24"/>
        </w:rPr>
        <w:t xml:space="preserve">Here </w:t>
      </w:r>
      <m:oMath>
        <m:sSub>
          <m:sSubPr/>
          <m:e>
            <m:r>
              <m:rPr/>
              <m:t>π</m:t>
            </m:r>
          </m:e>
          <m:sub>
            <m:r>
              <m:rPr/>
              <m:t>j</m:t>
            </m:r>
          </m:sub>
        </m:sSub>
      </m:oMath>
      <w:r>
        <w:rPr>
          <w:rFonts w:ascii="Times New Roman" w:hAnsi="Times New Roman" w:eastAsia="SimSun"/>
          <w:sz w:val="24"/>
        </w:rPr>
        <w:t xml:space="preserve"> is the proportion of repeated outer audit units in which candidate j is selected; it is distinct from the rank cutoff q in the CAHit@q definition. Equations (22a)–(22b) define normalized selection entropy.</w:t>
      </w:r>
    </w:p>
    <w:p>
      <w:pPr>
        <w:tabs>
          <w:tab w:val="center" w:pos="4649"/>
          <w:tab w:val="right" w:pos="9298"/>
        </w:tabs>
        <w:spacing w:before="0" w:after="0" w:line="240" w:lineRule="auto"/>
      </w:pPr>
      <w:r>
        <w:tab/>
      </w:r>
      <m:oMath>
        <m:sSub>
          <m:e>
            <m:r>
              <w:rPr>
                <w:rFonts w:ascii="Cambria Math" w:hAnsi="Cambria Math"/>
                <w:sz w:val="22"/>
              </w:rPr>
              <m:t>H</m:t>
            </m:r>
          </m:e>
          <m:sub>
            <m:r>
              <m:rPr>
                <m:sty m:val="p"/>
              </m:rPr>
              <w:rPr>
                <w:rFonts w:ascii="Cambria Math" w:hAnsi="Cambria Math"/>
                <w:sz w:val="22"/>
              </w:rPr>
              <m:t>sel</m:t>
            </m:r>
          </m:sub>
        </m:sSub>
        <m:r>
          <w:rPr>
            <w:rFonts w:ascii="Cambria Math" w:hAnsi="Cambria Math"/>
            <w:sz w:val="22"/>
          </w:rPr>
          <m:t> = −</m:t>
        </m:r>
        <m:nary>
          <m:naryPr>
            <m:chr m:val="∑"/>
            <m:limLoc m:val="undOvr"/>
            <m:supHide m:val="1"/>
          </m:naryPr>
          <m:sub>
            <m:r>
              <w:rPr>
                <w:rFonts w:ascii="Cambria Math" w:hAnsi="Cambria Math"/>
                <w:sz w:val="22"/>
              </w:rPr>
              <m:t>j</m:t>
            </m:r>
          </m:sub>
          <m:sup>
            <m:r>
              <w:rPr>
                <w:rFonts w:ascii="Cambria Math" w:hAnsi="Cambria Math"/>
                <w:sz w:val="22"/>
              </w:rPr>
              <m:t/>
            </m:r>
          </m:sup>
          <m:e>
            <m:sSub>
              <m:e>
                <m:r>
                  <w:rPr>
                    <w:rFonts w:ascii="Cambria Math" w:hAnsi="Cambria Math"/>
                    <w:sz w:val="22"/>
                  </w:rPr>
                  <m:t>π</m:t>
                </m:r>
              </m:e>
              <m:sub>
                <m:r>
                  <w:rPr>
                    <w:rFonts w:ascii="Cambria Math" w:hAnsi="Cambria Math"/>
                    <w:sz w:val="22"/>
                  </w:rPr>
                  <m:t>j</m:t>
                </m:r>
              </m:sub>
            </m:sSub>
            <m:r>
              <m:rPr>
                <m:sty m:val="p"/>
              </m:rPr>
              <w:rPr>
                <w:rFonts w:ascii="Cambria Math" w:hAnsi="Cambria Math"/>
                <w:sz w:val="22"/>
              </w:rPr>
              <m:t>ln</m:t>
            </m:r>
            <m:sSub>
              <m:e>
                <m:r>
                  <w:rPr>
                    <w:rFonts w:ascii="Cambria Math" w:hAnsi="Cambria Math"/>
                    <w:sz w:val="22"/>
                  </w:rPr>
                  <m:t>π</m:t>
                </m:r>
              </m:e>
              <m:sub>
                <m:r>
                  <w:rPr>
                    <w:rFonts w:ascii="Cambria Math" w:hAnsi="Cambria Math"/>
                    <w:sz w:val="22"/>
                  </w:rPr>
                  <m:t>j</m:t>
                </m:r>
              </m:sub>
            </m:sSub>
          </m:e>
        </m:nary>
      </m:oMath>
      <w:r>
        <w:tab/>
      </w:r>
      <w:r>
        <w:rPr>
          <w:rFonts w:ascii="Times New Roman" w:hAnsi="Times New Roman"/>
          <w:sz w:val="22"/>
        </w:rPr>
        <w:t>(22a)</w:t>
      </w:r>
    </w:p>
    <w:p>
      <w:pPr>
        <w:tabs>
          <w:tab w:val="center" w:pos="4649"/>
          <w:tab w:val="right" w:pos="9298"/>
        </w:tabs>
        <w:spacing w:before="0" w:after="0" w:line="240" w:lineRule="auto"/>
      </w:pPr>
      <w:r>
        <w:tab/>
      </w:r>
      <m:oMath>
        <m:sSub>
          <m:e>
            <m:r>
              <w:rPr>
                <w:rFonts w:ascii="Cambria Math" w:hAnsi="Cambria Math"/>
                <w:sz w:val="22"/>
              </w:rPr>
              <m:t>H</m:t>
            </m:r>
          </m:e>
          <m:sub>
            <m:r>
              <m:rPr>
                <m:sty m:val="p"/>
              </m:rPr>
              <w:rPr>
                <w:rFonts w:ascii="Cambria Math" w:hAnsi="Cambria Math"/>
                <w:sz w:val="22"/>
              </w:rPr>
              <m:t>sel,norm</m:t>
            </m:r>
          </m:sub>
        </m:sSub>
        <m:r>
          <w:rPr>
            <w:rFonts w:ascii="Cambria Math" w:hAnsi="Cambria Math"/>
            <w:sz w:val="22"/>
          </w:rPr>
          <m:t> = </m:t>
        </m:r>
        <m:f>
          <m:num>
            <m:sSub>
              <m:e>
                <m:r>
                  <w:rPr>
                    <w:rFonts w:ascii="Cambria Math" w:hAnsi="Cambria Math"/>
                    <w:sz w:val="22"/>
                  </w:rPr>
                  <m:t>H</m:t>
                </m:r>
              </m:e>
              <m:sub>
                <m:r>
                  <m:rPr>
                    <m:sty m:val="p"/>
                  </m:rPr>
                  <w:rPr>
                    <w:rFonts w:ascii="Cambria Math" w:hAnsi="Cambria Math"/>
                    <w:sz w:val="22"/>
                  </w:rPr>
                  <m:t>sel</m:t>
                </m:r>
              </m:sub>
            </m:sSub>
          </m:num>
          <m:den>
            <m:r>
              <m:rPr>
                <m:sty m:val="p"/>
              </m:rPr>
              <w:rPr>
                <w:rFonts w:ascii="Cambria Math" w:hAnsi="Cambria Math"/>
                <w:sz w:val="22"/>
              </w:rPr>
              <m:t>ln</m:t>
            </m:r>
            <m:r>
              <w:rPr>
                <w:rFonts w:ascii="Cambria Math" w:hAnsi="Cambria Math"/>
                <w:sz w:val="22"/>
              </w:rPr>
              <m:t> K</m:t>
            </m:r>
          </m:den>
        </m:f>
      </m:oMath>
      <w:r>
        <w:tab/>
      </w:r>
      <w:r>
        <w:rPr>
          <w:rFonts w:ascii="Times New Roman" w:hAnsi="Times New Roman"/>
          <w:sz w:val="22"/>
        </w:rPr>
        <w:t>(22b)</w:t>
      </w:r>
    </w:p>
    <w:p>
      <w:pPr>
        <w:spacing w:line="480" w:lineRule="auto" w:before="0" w:after="0"/>
      </w:pPr>
      <w:r>
        <w:rPr>
          <w:rFonts w:ascii="Times New Roman" w:hAnsi="Times New Roman" w:eastAsia="SimSun"/>
          <w:sz w:val="24"/>
        </w:rPr>
        <w:t>We used the numerical-stability constant ε_num = 10^−12. Ledoit–Wolf shrinkage used the scaled-identity target and the analytic coefficient implemented in scikit-learn. The shrinkage covariance was rescaled to a correlation matrix R before eigenanalysis. Correlation eigenvalues below zero only because of floating-point error were clipped to zero, with the convention 0 log 0 := 0. Paired normalized gains and cross-fitted gaps were computed within paired outer units, averaged over the three outer folds within each split seed, and then summarized within endpoint using split seed as the block; units with an absolute denominator at or below ε_num were reported as missing.</w:t>
      </w:r>
    </w:p>
    <w:p>
      <w:pPr>
        <w:pStyle w:val="3"/>
        <w:spacing w:line="480" w:lineRule="auto" w:before="0" w:after="0"/>
      </w:pPr>
      <w:r>
        <w:rPr>
          <w:rFonts w:ascii="Times New Roman" w:hAnsi="Times New Roman" w:eastAsia="SimSun"/>
          <w:sz w:val="24"/>
        </w:rPr>
        <w:t>S24 Minority-class identity audit</w:t>
      </w:r>
    </w:p>
    <w:p>
      <w:pPr>
        <w:spacing w:line="480" w:lineRule="auto" w:before="0" w:after="0"/>
      </w:pPr>
      <w:r>
        <w:rPr>
          <w:rFonts w:ascii="Times New Roman" w:hAnsi="Times New Roman" w:eastAsia="SimSun"/>
          <w:sz w:val="24"/>
        </w:rPr>
        <w:t>Across 150 classification outer units, 19 had an inner-fold frequency-minority identity switch. BACE contributed 5 switch units and P-gp 14; BBBP, ClinTox and HIA contributed none. No inner-validation probability archive was found for any unit, whereas all 150 outer probability archives were present. The recall-constrained selector is therefore documented as methodologically unreconstructable from the archive and no final candidate-switch or outer-performance effect is reported.</w:t>
      </w:r>
    </w:p>
    <w:p>
      <w:pPr>
        <w:pStyle w:val="3"/>
      </w:pPr>
      <w:r>
        <w:rPr>
          <w:rFonts w:ascii="Times New Roman" w:hAnsi="Times New Roman" w:eastAsia="SimSun"/>
          <w:sz w:val="24"/>
        </w:rPr>
        <w:t>S25 Completed robustness extensions</w:t>
      </w:r>
    </w:p>
    <w:p>
      <w:pPr>
        <w:pStyle w:val="4"/>
      </w:pPr>
      <w:r>
        <w:rPr>
          <w:rFonts w:ascii="Times New Roman" w:hAnsi="Times New Roman" w:eastAsia="SimSun"/>
          <w:sz w:val="24"/>
        </w:rPr>
        <w:t>S25.1 Tanimoto-component threshold sensitivity</w:t>
      </w:r>
    </w:p>
    <w:p>
      <w:r>
        <w:t>Connected components were constructed independently at Morgan-512 Tanimoto thresholds 0.60, 0.70, and 0.80 for BACE, ClinTox, ESOL and the prospectively locked extension endpoints BBBP, FreeSolv, and Lipophilicity. Each component was assigned intact to one fold. The same five split seeds, three outer folds, three inner folds, 32 registered candidates, selection policy, and reporting units were used at every threshold. All feasibility and integrity checks passed. Only ESOL and Lipophilicity retained the same cross-fitted K = 32 minus K = 4 gap direction at all three thresholds; the other four endpoints changed direction. Table S50 and Figure S27 retain all results; no threshold was selected after viewing results.</w:t>
      </w:r>
    </w:p>
    <w:p>
      <w:pPr>
        <w:pStyle w:val="4"/>
      </w:pPr>
      <w:r>
        <w:rPr>
          <w:rFonts w:ascii="Times New Roman" w:hAnsi="Times New Roman" w:eastAsia="SimSun"/>
          <w:sz w:val="24"/>
        </w:rPr>
        <w:t>S25.2 Independent model-seed variance</w:t>
      </w:r>
    </w:p>
    <w:p>
      <w:r>
        <w:rPr>
          <w:rFonts w:ascii="Times New Roman" w:hAnsi="Times New Roman" w:eastAsia="SimSun"/>
          <w:sz w:val="24"/>
        </w:rPr>
        <w:t>Model seeds 101, 202, and 303 were crossed with frozen split seeds 11, 83, and 149 for all nine endpoints. Candidate orders 1–4 are deterministic; the 28 stochastic candidates in orders 5–32 were independently refitted. Selection identity was compared within each endpoint, split seed, outer fold, and K. Numeric probability archives were partitioned by split seed to remain below the journal's 20 MB per-file limit. ExtraTrees probabilities were canonicalized with single-thread fitting, and every stored outer utility was recomputed from the archived probability table to machine precision. Table S51 and Figure S28 report dispersion and candidate-identity stability.</w:t>
      </w:r>
    </w:p>
    <w:p>
      <w:pPr>
        <w:pStyle w:val="4"/>
      </w:pPr>
      <w:r>
        <w:rPr>
          <w:rFonts w:ascii="Times New Roman" w:hAnsi="Times New Roman" w:eastAsia="Times New Roman"/>
        </w:rPr>
        <w:t>S25.3 Forward-temporal contextual stress test</w:t>
      </w:r>
    </w:p>
    <w:p>
      <w:r>
        <w:rPr>
          <w:rFonts w:ascii="Times New Roman" w:hAnsi="Times New Roman" w:eastAsia="SimSun"/>
          <w:sz w:val="24"/>
        </w:rPr>
        <w:t>CycPeptMPDB/CycPeptMP supplied 7,334 cleaned cyclic-peptide permeability records. Three forward windows preserved strict time order: train ≤2017, validate 2018–2019, test 2020; train ≤2019, validate 2020, test 2021; and train ≤2020, validate 2021, test 2022. Validation selected the candidate within each fixed prefix. The selected candidate was refitted on historical train plus validation records and evaluated once in the later test year. All 32 candidate predictions were retained for model seeds 101, 202, and 303. Table S52 and Figure S29 report this contextual workflow stress test, which is not an external validation of the nine primary endpoint effects.</w:t>
      </w:r>
    </w:p>
    <w:p>
      <w:pPr>
        <w:pStyle w:val="166"/>
      </w:pPr>
      <w:r>
        <w:rPr>
          <w:rFonts w:ascii="Times New Roman" w:hAnsi="Times New Roman" w:eastAsia="SimSun"/>
          <w:sz w:val="24"/>
        </w:rPr>
        <w:t>Table S50. Tanimoto-component threshold sensitivity for BACE, ClinTox, and ESOL.</w:t>
      </w:r>
    </w:p>
    <w:p>
      <w:pPr>
        <w:pStyle w:val="166"/>
      </w:pPr>
      <w:r>
        <w:rPr>
          <w:rFonts w:ascii="Times New Roman" w:hAnsi="Times New Roman" w:eastAsia="SimSun"/>
          <w:sz w:val="24"/>
        </w:rPr>
        <w:t>Table S51. Independent model-seed utility dispersion and selection-identity stability.</w:t>
      </w:r>
    </w:p>
    <w:p>
      <w:pPr>
        <w:pStyle w:val="166"/>
      </w:pPr>
      <w:r>
        <w:rPr>
          <w:rFonts w:ascii="Times New Roman" w:hAnsi="Times New Roman" w:eastAsia="SimSun"/>
          <w:sz w:val="24"/>
        </w:rPr>
        <w:t>Table S52. Independent-source forward temporal selection and completion gaps.</w:t>
      </w:r>
    </w:p>
    <w:sectPr>
      <w:footerReference r:id="rId5" w:type="default"/>
      <w:pgSz w:w="12240" w:h="15840"/>
      <w:pgMar w:top="1440" w:right="1332" w:bottom="1440" w:left="1332" w:header="720" w:footer="720" w:gutter="0"/>
      <w:lnNumType w:countBy="1" w:distance="36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framePr w:wrap="around" w:vAnchor="text" w:hAnchor="margin" w:y="1"/>
      <w:pBdr>
        <w:between w:val="none" w:color="auto" w:sz="0" w:space="0"/>
      </w:pBdr>
      <w:rPr>
        <w:rFonts w:cs="Times New Roman"/>
        <w:sz w:val="20"/>
      </w:rPr>
      <w:suppressLineNumbers/>
    </w:pPr>
    <w:r>
      <w:rPr>
        <w:rStyle w:val="134"/>
        <w:rFonts w:cs="Times New Roman"/>
      </w:rPr>
      <w:fldChar w:fldCharType="begin"/>
    </w:r>
    <w:r>
      <w:rPr>
        <w:rStyle w:val="134"/>
        <w:rFonts w:cs="Times New Roman"/>
      </w:rPr>
      <w:instrText xml:space="preserve"> PAGE  </w:instrText>
    </w:r>
    <w:r>
      <w:rPr>
        <w:rStyle w:val="134"/>
        <w:rFonts w:cs="Times New Roman"/>
      </w:rPr>
      <w:fldChar w:fldCharType="separate"/>
    </w:r>
    <w:r>
      <w:rPr>
        <w:rStyle w:val="134"/>
        <w:rFonts w:cs="Times New Roman"/>
      </w:rPr>
      <w:t>1</w:t>
    </w:r>
    <w:r>
      <w:rPr>
        <w:rStyle w:val="134"/>
        <w:rFonts w:cs="Times New Roman"/>
      </w:rPr>
      <w:fldChar w:fldCharType="end"/>
    </w:r>
  </w:p>
  <w:p>
    <w:pPr>
      <w:pStyle w:val="24"/>
      <w:jc w:val="center"/>
      <w:rPr>
        <w:rFonts w:cs="Times New Roman"/>
        <w:sz w:val="20"/>
      </w:rPr>
      <w:suppressLineNumber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20C2"/>
    <w:rsid w:val="00566D63"/>
    <w:rsid w:val="00AA1D8D"/>
    <w:rsid w:val="00B47730"/>
    <w:rsid w:val="00B51B5A"/>
    <w:rsid w:val="00CB0664"/>
    <w:rsid w:val="00D40D31"/>
    <w:rsid w:val="00FC693F"/>
    <w:rsid w:val="2A1A4618"/>
    <w:rsid w:val="30F23BED"/>
    <w:rsid w:val="43B851A1"/>
    <w:rsid w:val="46721D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line="480" w:lineRule="auto"/>
      <w:jc w:val="both"/>
    </w:pPr>
    <w:rPr>
      <w:rFonts w:ascii="Times New Roman" w:hAnsi="Times New Roman" w:eastAsiaTheme="minorEastAsia" w:cstheme="minorBidi" w:eastAsia="宋体"/>
      <w:sz w:val="24"/>
      <w:szCs w:val="22"/>
      <w:lang w:val="en-US" w:eastAsia="en-US" w:bidi="ar-SA"/>
    </w:rPr>
  </w:style>
  <w:style w:type="paragraph" w:styleId="3">
    <w:name w:val="heading 1"/>
    <w:basedOn w:val="1"/>
    <w:next w:val="1"/>
    <w:link w:val="139"/>
    <w:uiPriority w:val="9"/>
    <w:qFormat/>
    <w:pPr>
      <w:keepNext/>
      <w:keepLines/>
      <w:spacing w:before="120" w:after="60" w:line="240" w:lineRule="auto"/>
      <w:jc w:val="left"/>
      <w:outlineLvl w:val="0"/>
    </w:pPr>
    <w:rPr>
      <w:rFonts w:asciiTheme="majorHAnsi" w:hAnsiTheme="majorHAnsi" w:eastAsiaTheme="majorEastAsia" w:cstheme="majorBidi" w:ascii="Times New Roman" w:hAnsi="Times New Roman"/>
      <w:b/>
      <w:bCs/>
      <w:color w:val="376092" w:themeColor="accent1" w:themeShade="BF"/>
      <w:sz w:val="28"/>
      <w:szCs w:val="28"/>
    </w:rPr>
  </w:style>
  <w:style w:type="paragraph" w:styleId="4">
    <w:name w:val="heading 2"/>
    <w:basedOn w:val="1"/>
    <w:next w:val="1"/>
    <w:link w:val="140"/>
    <w:uiPriority w:val="9"/>
    <w:unhideWhenUsed/>
    <w:qFormat/>
    <w:pPr>
      <w:keepNext/>
      <w:keepLines/>
      <w:spacing w:before="120" w:after="60" w:line="240" w:lineRule="auto"/>
      <w:jc w:val="left"/>
      <w:outlineLvl w:val="1"/>
    </w:pPr>
    <w:rPr>
      <w:rFonts w:asciiTheme="majorHAnsi" w:hAnsiTheme="majorHAnsi" w:eastAsiaTheme="majorEastAsia" w:cstheme="majorBidi" w:ascii="Times New Roman" w:hAnsi="Times New Roman"/>
      <w:b/>
      <w:bCs/>
      <w:color w:val="4F81BD" w:themeColor="accent1"/>
      <w:szCs w:val="26"/>
      <w14:textFill>
        <w14:solidFill>
          <w14:schemeClr w14:val="accent1"/>
        </w14:solidFill>
      </w14:textFill>
    </w:rPr>
  </w:style>
  <w:style w:type="paragraph" w:styleId="5">
    <w:name w:val="heading 3"/>
    <w:basedOn w:val="1"/>
    <w:next w:val="1"/>
    <w:link w:val="141"/>
    <w:uiPriority w:val="9"/>
    <w:unhideWhenUsed/>
    <w:qFormat/>
    <w:pPr>
      <w:keepNext/>
      <w:keepLines/>
      <w:spacing w:before="120" w:after="60" w:line="240" w:lineRule="auto"/>
      <w:jc w:val="left"/>
      <w:outlineLvl w:val="2"/>
    </w:pPr>
    <w:rPr>
      <w:rFonts w:asciiTheme="majorHAnsi" w:hAnsiTheme="majorHAnsi" w:eastAsiaTheme="majorEastAsia" w:cstheme="majorBidi" w:ascii="Times New Roman" w:hAnsi="Times New Roman"/>
      <w:b/>
      <w:bCs/>
      <w:i/>
      <w:color w:val="4F81BD" w:themeColor="accent1"/>
      <w14:textFill>
        <w14:solidFill>
          <w14:schemeClr w14:val="accent1"/>
        </w14:solidFill>
      </w14:textFill>
    </w:rPr>
  </w:style>
  <w:style w:type="paragraph" w:styleId="6">
    <w:name w:val="heading 4"/>
    <w:basedOn w:val="1"/>
    <w:next w:val="1"/>
    <w:link w:val="151"/>
    <w:uiPriority w:val="9"/>
    <w:semiHidden/>
    <w:unhideWhenUsed/>
    <w:qFormat/>
    <w:pPr>
      <w:keepNext/>
      <w:keepLines/>
      <w:spacing w:before="200"/>
      <w:outlineLvl w:val="3"/>
    </w:pPr>
    <w:rPr>
      <w:rFonts w:asciiTheme="majorHAnsi" w:hAnsiTheme="majorHAnsi" w:eastAsiaTheme="majorEastAsia" w:cstheme="majorBidi" w:ascii="Times New Roman" w:hAnsi="Times New Roman"/>
      <w:b/>
      <w:bCs/>
      <w:i/>
      <w:iCs/>
      <w:color w:val="4F81BD" w:themeColor="accent1"/>
      <w14:textFill>
        <w14:solidFill>
          <w14:schemeClr w14:val="accent1"/>
        </w14:solidFill>
      </w14:textFill>
    </w:rPr>
  </w:style>
  <w:style w:type="paragraph" w:styleId="7">
    <w:name w:val="heading 5"/>
    <w:basedOn w:val="1"/>
    <w:next w:val="1"/>
    <w:link w:val="152"/>
    <w:uiPriority w:val="9"/>
    <w:semiHidden/>
    <w:unhideWhenUsed/>
    <w:qFormat/>
    <w:pPr>
      <w:keepNext/>
      <w:keepLines/>
      <w:spacing w:before="200"/>
      <w:outlineLvl w:val="4"/>
    </w:pPr>
    <w:rPr>
      <w:rFonts w:asciiTheme="majorHAnsi" w:hAnsiTheme="majorHAnsi" w:eastAsiaTheme="majorEastAsia" w:cstheme="majorBidi" w:ascii="Times New Roman" w:hAnsi="Times New Roman"/>
      <w:color w:val="254061" w:themeColor="accent1" w:themeShade="80"/>
    </w:rPr>
  </w:style>
  <w:style w:type="paragraph" w:styleId="8">
    <w:name w:val="heading 6"/>
    <w:basedOn w:val="1"/>
    <w:next w:val="1"/>
    <w:link w:val="153"/>
    <w:uiPriority w:val="9"/>
    <w:semiHidden/>
    <w:unhideWhenUsed/>
    <w:qFormat/>
    <w:pPr>
      <w:keepNext/>
      <w:keepLines/>
      <w:spacing w:before="200"/>
      <w:outlineLvl w:val="5"/>
    </w:pPr>
    <w:rPr>
      <w:rFonts w:asciiTheme="majorHAnsi" w:hAnsiTheme="majorHAnsi" w:eastAsiaTheme="majorEastAsia" w:cstheme="majorBidi" w:ascii="Times New Roman" w:hAnsi="Times New Roman"/>
      <w:i/>
      <w:iCs/>
      <w:color w:val="254061" w:themeColor="accent1" w:themeShade="80"/>
    </w:rPr>
  </w:style>
  <w:style w:type="paragraph" w:styleId="9">
    <w:name w:val="heading 7"/>
    <w:basedOn w:val="1"/>
    <w:next w:val="1"/>
    <w:link w:val="154"/>
    <w:uiPriority w:val="9"/>
    <w:semiHidden/>
    <w:unhideWhenUsed/>
    <w:qFormat/>
    <w:pPr>
      <w:keepNext/>
      <w:keepLines/>
      <w:spacing w:before="200"/>
      <w:outlineLvl w:val="6"/>
    </w:pPr>
    <w:rPr>
      <w:rFonts w:asciiTheme="majorHAnsi" w:hAnsiTheme="majorHAnsi" w:eastAsiaTheme="majorEastAsia" w:cstheme="majorBidi" w:ascii="Times New Roman" w:hAnsi="Times New Roman"/>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uiPriority w:val="9"/>
    <w:semiHidden/>
    <w:unhideWhenUsed/>
    <w:qFormat/>
    <w:pPr>
      <w:keepNext/>
      <w:keepLines/>
      <w:spacing w:before="200"/>
      <w:outlineLvl w:val="7"/>
    </w:pPr>
    <w:rPr>
      <w:rFonts w:asciiTheme="majorHAnsi" w:hAnsiTheme="majorHAnsi" w:eastAsiaTheme="majorEastAsia" w:cstheme="majorBidi" w:ascii="Times New Roman" w:hAnsi="Times New Roman"/>
      <w:color w:val="4F81BD" w:themeColor="accent1"/>
      <w:sz w:val="20"/>
      <w:szCs w:val="20"/>
      <w14:textFill>
        <w14:solidFill>
          <w14:schemeClr w14:val="accent1"/>
        </w14:solidFill>
      </w14:textFill>
    </w:rPr>
  </w:style>
  <w:style w:type="paragraph" w:styleId="11">
    <w:name w:val="heading 9"/>
    <w:basedOn w:val="1"/>
    <w:next w:val="1"/>
    <w:link w:val="156"/>
    <w:uiPriority w:val="9"/>
    <w:semiHidden/>
    <w:unhideWhenUsed/>
    <w:qFormat/>
    <w:pPr>
      <w:keepNext/>
      <w:keepLines/>
      <w:spacing w:before="200"/>
      <w:outlineLvl w:val="8"/>
    </w:pPr>
    <w:rPr>
      <w:rFonts w:asciiTheme="majorHAnsi" w:hAnsiTheme="majorHAnsi" w:eastAsiaTheme="majorEastAsia" w:cstheme="majorBidi" w:ascii="Times New Roman" w:hAnsi="Times New Roman"/>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rPr>
      <w:rFonts w:ascii="Times New Roman" w:hAnsi="Times New Roman"/>
    </w:rPr>
  </w:style>
  <w:style w:type="table" w:default="1" w:styleId="32">
    <w:name w:val="Normal Table"/>
    <w:uiPriority w:val="99"/>
    <w:semiHidden/>
    <w:unhideWhenUsed/>
    <w:rPr>
      <w:rFonts w:ascii="Times New Roman" w:hAnsi="Times New Roman"/>
    </w:rPr>
    <w:tblPr>
      <w:tblCellMar>
        <w:top w:w="0" w:type="dxa"/>
        <w:left w:w="108" w:type="dxa"/>
        <w:bottom w:w="0" w:type="dxa"/>
        <w:right w:w="108" w:type="dxa"/>
      </w:tblCellMar>
    </w:tblPr>
  </w:style>
  <w:style w:type="paragraph" w:styleId="2">
    <w:name w:val="macro"/>
    <w:link w:val="148"/>
    <w:uiPriority w:val="99"/>
    <w:unhideWhenUsed/>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lang w:val="en-US" w:eastAsia="en-US" w:bidi="ar-SA"/>
    </w:rPr>
  </w:style>
  <w:style w:type="paragraph" w:styleId="12">
    <w:name w:val="List 3"/>
    <w:basedOn w:val="1"/>
    <w:uiPriority w:val="99"/>
    <w:unhideWhenUsed/>
    <w:pPr>
      <w:ind w:left="1080" w:hanging="360"/>
      <w:contextualSpacing/>
    </w:pPr>
    <w:rPr>
      <w:rFonts w:ascii="Times New Roman" w:hAnsi="Times New Roman"/>
    </w:rPr>
  </w:style>
  <w:style w:type="paragraph" w:styleId="13">
    <w:name w:val="List Number 2"/>
    <w:basedOn w:val="1"/>
    <w:uiPriority w:val="99"/>
    <w:unhideWhenUsed/>
    <w:pPr>
      <w:numPr>
        <w:ilvl w:val="0"/>
        <w:numId w:val="1"/>
      </w:numPr>
      <w:contextualSpacing/>
    </w:pPr>
    <w:rPr>
      <w:rFonts w:ascii="Times New Roman" w:hAnsi="Times New Roman"/>
    </w:rPr>
  </w:style>
  <w:style w:type="paragraph" w:styleId="14">
    <w:name w:val="List Number"/>
    <w:basedOn w:val="1"/>
    <w:uiPriority w:val="99"/>
    <w:unhideWhenUsed/>
    <w:pPr>
      <w:numPr>
        <w:ilvl w:val="0"/>
        <w:numId w:val="2"/>
      </w:numPr>
      <w:contextualSpacing/>
    </w:pPr>
    <w:rPr>
      <w:rFonts w:ascii="Times New Roman" w:hAnsi="Times New Roman"/>
    </w:rPr>
  </w:style>
  <w:style w:type="paragraph" w:styleId="15">
    <w:name w:val="caption"/>
    <w:basedOn w:val="1"/>
    <w:next w:val="1"/>
    <w:uiPriority w:val="35"/>
    <w:semiHidden/>
    <w:unhideWhenUsed/>
    <w:qFormat/>
    <w:pPr>
      <w:spacing w:line="240" w:lineRule="auto"/>
    </w:pPr>
    <w:rPr>
      <w:rFonts w:ascii="Times New Roman" w:hAnsi="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pPr>
      <w:numPr>
        <w:ilvl w:val="0"/>
        <w:numId w:val="3"/>
      </w:numPr>
      <w:contextualSpacing/>
    </w:pPr>
    <w:rPr>
      <w:rFonts w:ascii="Times New Roman" w:hAnsi="Times New Roman"/>
    </w:rPr>
  </w:style>
  <w:style w:type="paragraph" w:styleId="17">
    <w:name w:val="Body Text 3"/>
    <w:basedOn w:val="1"/>
    <w:link w:val="147"/>
    <w:uiPriority w:val="99"/>
    <w:unhideWhenUsed/>
    <w:pPr>
      <w:spacing w:after="120"/>
    </w:pPr>
    <w:rPr>
      <w:rFonts w:ascii="Times New Roman" w:hAnsi="Times New Roman"/>
      <w:sz w:val="16"/>
      <w:szCs w:val="16"/>
    </w:rPr>
  </w:style>
  <w:style w:type="paragraph" w:styleId="18">
    <w:name w:val="List Bullet 3"/>
    <w:basedOn w:val="1"/>
    <w:uiPriority w:val="99"/>
    <w:unhideWhenUsed/>
    <w:pPr>
      <w:numPr>
        <w:ilvl w:val="0"/>
        <w:numId w:val="4"/>
      </w:numPr>
      <w:contextualSpacing/>
    </w:pPr>
    <w:rPr>
      <w:rFonts w:ascii="Times New Roman" w:hAnsi="Times New Roman"/>
    </w:rPr>
  </w:style>
  <w:style w:type="paragraph" w:styleId="19">
    <w:name w:val="Body Text"/>
    <w:basedOn w:val="1"/>
    <w:link w:val="145"/>
    <w:uiPriority w:val="99"/>
    <w:unhideWhenUsed/>
    <w:pPr>
      <w:spacing w:after="120"/>
    </w:pPr>
    <w:rPr>
      <w:rFonts w:ascii="Times New Roman" w:hAnsi="Times New Roman"/>
    </w:rPr>
  </w:style>
  <w:style w:type="paragraph" w:styleId="20">
    <w:name w:val="List Number 3"/>
    <w:basedOn w:val="1"/>
    <w:uiPriority w:val="99"/>
    <w:unhideWhenUsed/>
    <w:pPr>
      <w:numPr>
        <w:ilvl w:val="0"/>
        <w:numId w:val="5"/>
      </w:numPr>
      <w:contextualSpacing/>
    </w:pPr>
    <w:rPr>
      <w:rFonts w:ascii="Times New Roman" w:hAnsi="Times New Roman"/>
    </w:rPr>
  </w:style>
  <w:style w:type="paragraph" w:styleId="21">
    <w:name w:val="List 2"/>
    <w:basedOn w:val="1"/>
    <w:uiPriority w:val="99"/>
    <w:unhideWhenUsed/>
    <w:pPr>
      <w:ind w:left="720" w:hanging="360"/>
      <w:contextualSpacing/>
    </w:pPr>
    <w:rPr>
      <w:rFonts w:ascii="Times New Roman" w:hAnsi="Times New Roman"/>
    </w:rPr>
  </w:style>
  <w:style w:type="paragraph" w:styleId="22">
    <w:name w:val="List Continue"/>
    <w:basedOn w:val="1"/>
    <w:uiPriority w:val="99"/>
    <w:unhideWhenUsed/>
    <w:pPr>
      <w:spacing w:after="120"/>
      <w:ind w:left="360"/>
      <w:contextualSpacing/>
    </w:pPr>
    <w:rPr>
      <w:rFonts w:ascii="Times New Roman" w:hAnsi="Times New Roman"/>
    </w:rPr>
  </w:style>
  <w:style w:type="paragraph" w:styleId="23">
    <w:name w:val="List Bullet 2"/>
    <w:basedOn w:val="1"/>
    <w:uiPriority w:val="99"/>
    <w:unhideWhenUsed/>
    <w:pPr>
      <w:numPr>
        <w:ilvl w:val="0"/>
        <w:numId w:val="6"/>
      </w:numPr>
      <w:contextualSpacing/>
    </w:pPr>
    <w:rPr>
      <w:rFonts w:ascii="Times New Roman" w:hAnsi="Times New Roman"/>
    </w:rPr>
  </w:style>
  <w:style w:type="paragraph" w:styleId="24">
    <w:name w:val="footer"/>
    <w:basedOn w:val="1"/>
    <w:link w:val="137"/>
    <w:uiPriority w:val="99"/>
    <w:unhideWhenUsed/>
    <w:qFormat/>
    <w:pPr>
      <w:tabs>
        <w:tab w:val="center" w:pos="4680"/>
        <w:tab w:val="right" w:pos="9360"/>
      </w:tabs>
      <w:spacing w:line="240" w:lineRule="auto"/>
    </w:pPr>
    <w:rPr>
      <w:rFonts w:ascii="Times New Roman" w:hAnsi="Times New Roman"/>
    </w:rPr>
  </w:style>
  <w:style w:type="paragraph" w:styleId="25">
    <w:name w:val="header"/>
    <w:basedOn w:val="1"/>
    <w:link w:val="136"/>
    <w:uiPriority w:val="99"/>
    <w:unhideWhenUsed/>
    <w:qFormat/>
    <w:pPr>
      <w:tabs>
        <w:tab w:val="center" w:pos="4680"/>
        <w:tab w:val="right" w:pos="9360"/>
      </w:tabs>
      <w:spacing w:line="240" w:lineRule="auto"/>
    </w:pPr>
    <w:rPr>
      <w:rFonts w:ascii="Times New Roman" w:hAnsi="Times New Roman"/>
    </w:rPr>
  </w:style>
  <w:style w:type="paragraph" w:styleId="26">
    <w:name w:val="Subtitle"/>
    <w:basedOn w:val="1"/>
    <w:next w:val="1"/>
    <w:link w:val="143"/>
    <w:uiPriority w:val="11"/>
    <w:qFormat/>
    <w:rPr>
      <w:rFonts w:asciiTheme="majorHAnsi" w:hAnsiTheme="majorHAnsi" w:eastAsiaTheme="majorEastAsia" w:cstheme="majorBidi" w:ascii="Times New Roman" w:hAnsi="Times New Roman"/>
      <w:i/>
      <w:iCs/>
      <w:color w:val="4F81BD" w:themeColor="accent1"/>
      <w:spacing w:val="15"/>
      <w:szCs w:val="24"/>
      <w14:textFill>
        <w14:solidFill>
          <w14:schemeClr w14:val="accent1"/>
        </w14:solidFill>
      </w14:textFill>
    </w:rPr>
  </w:style>
  <w:style w:type="paragraph" w:styleId="27">
    <w:name w:val="List"/>
    <w:basedOn w:val="1"/>
    <w:uiPriority w:val="99"/>
    <w:unhideWhenUsed/>
    <w:pPr>
      <w:ind w:left="360" w:hanging="360"/>
      <w:contextualSpacing/>
    </w:pPr>
    <w:rPr>
      <w:rFonts w:ascii="Times New Roman" w:hAnsi="Times New Roman"/>
    </w:rPr>
  </w:style>
  <w:style w:type="paragraph" w:styleId="28">
    <w:name w:val="Body Text 2"/>
    <w:basedOn w:val="1"/>
    <w:link w:val="146"/>
    <w:uiPriority w:val="99"/>
    <w:unhideWhenUsed/>
    <w:pPr>
      <w:spacing w:after="120"/>
    </w:pPr>
    <w:rPr>
      <w:rFonts w:ascii="Times New Roman" w:hAnsi="Times New Roman"/>
    </w:rPr>
  </w:style>
  <w:style w:type="paragraph" w:styleId="29">
    <w:name w:val="List Continue 2"/>
    <w:basedOn w:val="1"/>
    <w:uiPriority w:val="99"/>
    <w:unhideWhenUsed/>
    <w:qFormat/>
    <w:pPr>
      <w:spacing w:after="120"/>
      <w:ind w:left="720"/>
      <w:contextualSpacing/>
    </w:pPr>
    <w:rPr>
      <w:rFonts w:ascii="Times New Roman" w:hAnsi="Times New Roman"/>
    </w:rPr>
  </w:style>
  <w:style w:type="paragraph" w:styleId="30">
    <w:name w:val="List Continue 3"/>
    <w:basedOn w:val="1"/>
    <w:uiPriority w:val="99"/>
    <w:unhideWhenUsed/>
    <w:pPr>
      <w:spacing w:after="120"/>
      <w:ind w:left="1080"/>
      <w:contextualSpacing/>
    </w:pPr>
    <w:rPr>
      <w:rFonts w:ascii="Times New Roman" w:hAnsi="Times New Roman"/>
    </w:rPr>
  </w:style>
  <w:style w:type="paragraph" w:styleId="31">
    <w:name w:val="Title"/>
    <w:basedOn w:val="1"/>
    <w:next w:val="1"/>
    <w:link w:val="142"/>
    <w:uiPriority w:val="10"/>
    <w:qFormat/>
    <w:pPr>
      <w:pBdr>
        <w:bottom w:val="single" w:color="4F81BD" w:themeColor="accent1" w:sz="8" w:space="4"/>
      </w:pBdr>
      <w:spacing w:after="300" w:line="240" w:lineRule="auto"/>
      <w:contextualSpacing/>
      <w:jc w:val="center"/>
    </w:pPr>
    <w:rPr>
      <w:rFonts w:asciiTheme="majorHAnsi" w:hAnsiTheme="majorHAnsi" w:eastAsiaTheme="majorEastAsia" w:cstheme="majorBidi" w:ascii="Times New Roman" w:hAnsi="Times New Roman"/>
      <w:b/>
      <w:color w:val="17375E" w:themeColor="text2" w:themeShade="BF"/>
      <w:spacing w:val="5"/>
      <w:kern w:val="28"/>
      <w:sz w:val="32"/>
      <w:szCs w:val="52"/>
    </w:rPr>
  </w:style>
  <w:style w:type="table" w:styleId="33">
    <w:name w:val="Table Grid"/>
    <w:basedOn w:val="32"/>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rPr>
      <w:rFonts w:ascii="Times New Roman" w:hAnsi="Times New Roman"/>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rFonts w:ascii="Times New Roman" w:hAnsi="Times New Roman"/>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rPr>
      <w:rFonts w:ascii="Times New Roman" w:hAnsi="Times New Roman"/>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rPr>
      <w:rFonts w:ascii="Times New Roman" w:hAnsi="Times New Roman"/>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rPr>
      <w:rFonts w:ascii="Times New Roman" w:hAnsi="Times New Roman"/>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rPr>
      <w:rFonts w:ascii="Times New Roman" w:hAnsi="Times New Roman"/>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rPr>
      <w:rFonts w:ascii="Times New Roman" w:hAnsi="Times New Roman"/>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rPr>
      <w:rFonts w:ascii="Times New Roman" w:hAnsi="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rPr>
      <w:rFonts w:ascii="Times New Roman" w:hAnsi="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rPr>
      <w:rFonts w:ascii="Times New Roman" w:hAnsi="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rPr>
      <w:rFonts w:ascii="Times New Roman" w:hAnsi="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rPr>
      <w:rFonts w:ascii="Times New Roman" w:hAnsi="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rPr>
      <w:rFonts w:ascii="Times New Roman" w:hAnsi="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rPr>
      <w:rFonts w:ascii="Times New Roman" w:hAnsi="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rPr>
      <w:rFonts w:ascii="Times New Roman" w:hAnsi="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rPr>
      <w:rFonts w:ascii="Times New Roman" w:hAnsi="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rPr>
      <w:rFonts w:ascii="Times New Roman" w:hAnsi="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rPr>
      <w:rFonts w:ascii="Times New Roman" w:hAnsi="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rPr>
      <w:rFonts w:ascii="Times New Roman" w:hAnsi="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rPr>
      <w:rFonts w:ascii="Times New Roman" w:hAnsi="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rPr>
      <w:rFonts w:ascii="Times New Roman" w:hAnsi="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rPr>
      <w:rFonts w:ascii="Times New Roman" w:hAnsi="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rPr>
      <w:rFonts w:ascii="Times New Roman" w:hAnsi="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rPr>
      <w:rFonts w:ascii="Times New Roman" w:hAnsi="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qFormat/>
    <w:rPr>
      <w:rFonts w:ascii="Times New Roman" w:hAnsi="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rPr>
      <w:rFonts w:ascii="Times New Roman" w:hAnsi="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qFormat/>
    <w:rPr>
      <w:rFonts w:ascii="Times New Roman" w:hAnsi="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rPr>
      <w:rFonts w:ascii="Times New Roman" w:hAnsi="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qFormat/>
    <w:rPr>
      <w:rFonts w:ascii="Times New Roman" w:hAnsi="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qFormat/>
    <w:rPr>
      <w:rFonts w:ascii="Times New Roman" w:hAnsi="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rPr>
      <w:rFonts w:ascii="Times New Roman" w:hAnsi="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rPr>
      <w:rFonts w:ascii="Times New Roman" w:hAnsi="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rPr>
      <w:rFonts w:ascii="Times New Roman" w:hAnsi="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rPr>
      <w:rFonts w:ascii="Times New Roman" w:hAnsi="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rFonts w:ascii="Times New Roman" w:hAnsi="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qFormat/>
    <w:rPr>
      <w:rFonts w:ascii="Times New Roman" w:hAnsi="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rPr>
      <w:rFonts w:ascii="Times New Roman" w:hAnsi="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rPr>
      <w:rFonts w:ascii="Times New Roman" w:hAnsi="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rPr>
      <w:rFonts w:ascii="Times New Roman" w:hAnsi="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rPr>
      <w:rFonts w:ascii="Times New Roman" w:hAnsi="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qFormat/>
    <w:rPr>
      <w:rFonts w:ascii="Times New Roman" w:hAnsi="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rPr>
      <w:rFonts w:ascii="Times New Roman" w:hAnsi="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rPr>
      <w:rFonts w:ascii="Times New Roman" w:hAnsi="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qFormat/>
    <w:rPr>
      <w:rFonts w:asciiTheme="majorHAnsi" w:hAnsiTheme="majorHAnsi" w:eastAsiaTheme="majorEastAsia" w:cstheme="majorBidi" w:ascii="Times New Roman" w:hAnsi="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rPr>
      <w:rFonts w:ascii="Times New Roman" w:hAnsi="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qFormat/>
    <w:rPr>
      <w:rFonts w:ascii="Times New Roman" w:hAnsi="Times New Roman"/>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rPr>
      <w:rFonts w:ascii="Times New Roman" w:hAnsi="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rPr>
      <w:rFonts w:ascii="Times New Roman" w:hAnsi="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rPr>
      <w:rFonts w:ascii="Times New Roman" w:hAnsi="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rPr>
      <w:rFonts w:ascii="Times New Roman" w:hAnsi="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rPr>
      <w:rFonts w:ascii="Times New Roman" w:hAnsi="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qFormat/>
    <w:rPr>
      <w:rFonts w:ascii="Times New Roman" w:hAnsi="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rPr>
      <w:rFonts w:ascii="Times New Roman" w:hAnsi="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rFonts w:ascii="Times New Roman" w:hAnsi="Times New Roman"/>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rPr>
      <w:rFonts w:ascii="Times New Roman" w:hAnsi="Times New Roman"/>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b/>
      <w:bCs/>
    </w:rPr>
  </w:style>
  <w:style w:type="character" w:styleId="134">
    <w:name w:val="page number"/>
    <w:basedOn w:val="132"/>
    <w:uiPriority w:val="99"/>
    <w:semiHidden/>
    <w:unhideWhenUsed/>
    <w:rPr>
      <w:rFonts w:ascii="Times New Roman" w:hAnsi="Times New Roman"/>
    </w:rPr>
  </w:style>
  <w:style w:type="character" w:styleId="135">
    <w:name w:val="Emphasis"/>
    <w:basedOn w:val="132"/>
    <w:uiPriority w:val="20"/>
    <w:qFormat/>
    <w:rPr>
      <w:rFonts w:ascii="Times New Roman" w:hAnsi="Times New Roman"/>
      <w:i/>
      <w:iCs/>
    </w:rPr>
  </w:style>
  <w:style w:type="character" w:customStyle="1" w:styleId="136">
    <w:name w:val="页眉 字符"/>
    <w:basedOn w:val="132"/>
    <w:link w:val="25"/>
    <w:uiPriority w:val="99"/>
    <w:rPr>
      <w:rFonts w:ascii="Times New Roman" w:hAnsi="Times New Roman"/>
    </w:rPr>
  </w:style>
  <w:style w:type="character" w:customStyle="1" w:styleId="137">
    <w:name w:val="页脚 字符"/>
    <w:basedOn w:val="132"/>
    <w:link w:val="24"/>
    <w:uiPriority w:val="99"/>
    <w:rPr>
      <w:rFonts w:ascii="Times New Roman" w:hAnsi="Times New Roman"/>
    </w:rPr>
  </w:style>
  <w:style w:type="paragraph" w:styleId="138">
    <w:name w:val="No Spacing"/>
    <w:uiPriority w:val="1"/>
    <w:qFormat/>
    <w:rPr>
      <w:rFonts w:ascii="Times New Roman" w:hAnsi="Times New Roman" w:eastAsiaTheme="minorEastAsia" w:cstheme="minorBidi"/>
      <w:sz w:val="22"/>
      <w:szCs w:val="22"/>
      <w:lang w:val="en-US" w:eastAsia="en-US" w:bidi="ar-SA"/>
    </w:rPr>
  </w:style>
  <w:style w:type="character" w:customStyle="1" w:styleId="139">
    <w:name w:val="标题 1 字符"/>
    <w:basedOn w:val="132"/>
    <w:link w:val="3"/>
    <w:uiPriority w:val="9"/>
    <w:rPr>
      <w:rFonts w:asciiTheme="majorHAnsi" w:hAnsiTheme="majorHAnsi" w:eastAsiaTheme="majorEastAsia" w:cstheme="majorBidi" w:ascii="Times New Roman" w:hAnsi="Times New Roman"/>
      <w:b/>
      <w:bCs/>
      <w:color w:val="376092" w:themeColor="accent1" w:themeShade="BF"/>
      <w:sz w:val="28"/>
      <w:szCs w:val="28"/>
    </w:rPr>
  </w:style>
  <w:style w:type="character" w:customStyle="1" w:styleId="140">
    <w:name w:val="标题 2 字符"/>
    <w:basedOn w:val="132"/>
    <w:link w:val="4"/>
    <w:uiPriority w:val="9"/>
    <w:rPr>
      <w:rFonts w:asciiTheme="majorHAnsi" w:hAnsiTheme="majorHAnsi" w:eastAsiaTheme="majorEastAsia" w:cstheme="majorBidi" w:ascii="Times New Roman" w:hAnsi="Times New Roman"/>
      <w:b/>
      <w:bCs/>
      <w:color w:val="4F81BD" w:themeColor="accent1"/>
      <w:sz w:val="26"/>
      <w:szCs w:val="26"/>
      <w14:textFill>
        <w14:solidFill>
          <w14:schemeClr w14:val="accent1"/>
        </w14:solidFill>
      </w14:textFill>
    </w:rPr>
  </w:style>
  <w:style w:type="character" w:customStyle="1" w:styleId="141">
    <w:name w:val="标题 3 字符"/>
    <w:basedOn w:val="132"/>
    <w:link w:val="5"/>
    <w:uiPriority w:val="9"/>
    <w:rPr>
      <w:rFonts w:asciiTheme="majorHAnsi" w:hAnsiTheme="majorHAnsi" w:eastAsiaTheme="majorEastAsia" w:cstheme="majorBidi" w:ascii="Times New Roman" w:hAnsi="Times New Roman"/>
      <w:b/>
      <w:bCs/>
      <w:color w:val="4F81BD" w:themeColor="accent1"/>
      <w14:textFill>
        <w14:solidFill>
          <w14:schemeClr w14:val="accent1"/>
        </w14:solidFill>
      </w14:textFill>
    </w:rPr>
  </w:style>
  <w:style w:type="character" w:customStyle="1" w:styleId="142">
    <w:name w:val="标题 字符"/>
    <w:basedOn w:val="132"/>
    <w:link w:val="31"/>
    <w:uiPriority w:val="10"/>
    <w:rPr>
      <w:rFonts w:asciiTheme="majorHAnsi" w:hAnsiTheme="majorHAnsi" w:eastAsiaTheme="majorEastAsia" w:cstheme="majorBidi" w:ascii="Times New Roman" w:hAnsi="Times New Roman"/>
      <w:color w:val="17375E" w:themeColor="text2" w:themeShade="BF"/>
      <w:spacing w:val="5"/>
      <w:kern w:val="28"/>
      <w:sz w:val="52"/>
      <w:szCs w:val="52"/>
    </w:rPr>
  </w:style>
  <w:style w:type="character" w:customStyle="1" w:styleId="143">
    <w:name w:val="副标题 字符"/>
    <w:basedOn w:val="132"/>
    <w:link w:val="26"/>
    <w:uiPriority w:val="11"/>
    <w:rPr>
      <w:rFonts w:asciiTheme="majorHAnsi" w:hAnsiTheme="majorHAnsi" w:eastAsiaTheme="majorEastAsia" w:cstheme="majorBidi" w:ascii="Times New Roman" w:hAnsi="Times New Roman"/>
      <w:i/>
      <w:iCs/>
      <w:color w:val="4F81BD" w:themeColor="accent1"/>
      <w:spacing w:val="15"/>
      <w:sz w:val="24"/>
      <w:szCs w:val="24"/>
      <w14:textFill>
        <w14:solidFill>
          <w14:schemeClr w14:val="accent1"/>
        </w14:solidFill>
      </w14:textFill>
    </w:rPr>
  </w:style>
  <w:style w:type="paragraph" w:styleId="144">
    <w:name w:val="List Paragraph"/>
    <w:basedOn w:val="1"/>
    <w:uiPriority w:val="34"/>
    <w:qFormat/>
    <w:pPr>
      <w:ind w:left="720"/>
      <w:contextualSpacing/>
    </w:pPr>
    <w:rPr>
      <w:rFonts w:ascii="Times New Roman" w:hAnsi="Times New Roman"/>
    </w:rPr>
  </w:style>
  <w:style w:type="character" w:customStyle="1" w:styleId="145">
    <w:name w:val="正文文本 字符"/>
    <w:basedOn w:val="132"/>
    <w:link w:val="19"/>
    <w:uiPriority w:val="99"/>
    <w:rPr>
      <w:rFonts w:ascii="Times New Roman" w:hAnsi="Times New Roman"/>
    </w:rPr>
  </w:style>
  <w:style w:type="character" w:customStyle="1" w:styleId="146">
    <w:name w:val="正文文本 2 字符"/>
    <w:basedOn w:val="132"/>
    <w:link w:val="28"/>
    <w:uiPriority w:val="99"/>
    <w:qFormat/>
    <w:rPr>
      <w:rFonts w:ascii="Times New Roman" w:hAnsi="Times New Roman"/>
    </w:rPr>
  </w:style>
  <w:style w:type="character" w:customStyle="1" w:styleId="147">
    <w:name w:val="正文文本 3 字符"/>
    <w:basedOn w:val="132"/>
    <w:link w:val="17"/>
    <w:uiPriority w:val="99"/>
    <w:rPr>
      <w:rFonts w:ascii="Times New Roman" w:hAnsi="Times New Roman"/>
      <w:sz w:val="16"/>
      <w:szCs w:val="16"/>
    </w:rPr>
  </w:style>
  <w:style w:type="character" w:customStyle="1" w:styleId="148">
    <w:name w:val="宏文本 字符"/>
    <w:basedOn w:val="132"/>
    <w:link w:val="2"/>
    <w:uiPriority w:val="99"/>
    <w:rPr>
      <w:rFonts w:ascii="Times New Roman" w:hAnsi="Times New Roman"/>
      <w:sz w:val="20"/>
      <w:szCs w:val="20"/>
    </w:rPr>
  </w:style>
  <w:style w:type="paragraph" w:styleId="149">
    <w:name w:val="Quote"/>
    <w:basedOn w:val="1"/>
    <w:next w:val="1"/>
    <w:link w:val="150"/>
    <w:uiPriority w:val="29"/>
    <w:qFormat/>
    <w:rPr>
      <w:rFonts w:ascii="Times New Roman" w:hAnsi="Times New Roman"/>
      <w:i/>
      <w:iCs/>
      <w:color w:val="000000" w:themeColor="text1"/>
      <w14:textFill>
        <w14:solidFill>
          <w14:schemeClr w14:val="tx1"/>
        </w14:solidFill>
      </w14:textFill>
    </w:rPr>
  </w:style>
  <w:style w:type="character" w:customStyle="1" w:styleId="150">
    <w:name w:val="引用 字符"/>
    <w:basedOn w:val="132"/>
    <w:link w:val="149"/>
    <w:uiPriority w:val="29"/>
    <w:rPr>
      <w:rFonts w:ascii="Times New Roman" w:hAnsi="Times New Roman"/>
      <w:i/>
      <w:iCs/>
      <w:color w:val="000000" w:themeColor="text1"/>
      <w14:textFill>
        <w14:solidFill>
          <w14:schemeClr w14:val="tx1"/>
        </w14:solidFill>
      </w14:textFill>
    </w:rPr>
  </w:style>
  <w:style w:type="character" w:customStyle="1" w:styleId="151">
    <w:name w:val="标题 4 字符"/>
    <w:basedOn w:val="132"/>
    <w:link w:val="6"/>
    <w:uiPriority w:val="9"/>
    <w:semiHidden/>
    <w:rPr>
      <w:rFonts w:asciiTheme="majorHAnsi" w:hAnsiTheme="majorHAnsi" w:eastAsiaTheme="majorEastAsia" w:cstheme="majorBidi" w:ascii="Times New Roman" w:hAnsi="Times New Roman"/>
      <w:b/>
      <w:bCs/>
      <w:i/>
      <w:iCs/>
      <w:color w:val="4F81BD" w:themeColor="accent1"/>
      <w14:textFill>
        <w14:solidFill>
          <w14:schemeClr w14:val="accent1"/>
        </w14:solidFill>
      </w14:textFill>
    </w:rPr>
  </w:style>
  <w:style w:type="character" w:customStyle="1" w:styleId="152">
    <w:name w:val="标题 5 字符"/>
    <w:basedOn w:val="132"/>
    <w:link w:val="7"/>
    <w:uiPriority w:val="9"/>
    <w:semiHidden/>
    <w:rPr>
      <w:rFonts w:asciiTheme="majorHAnsi" w:hAnsiTheme="majorHAnsi" w:eastAsiaTheme="majorEastAsia" w:cstheme="majorBidi" w:ascii="Times New Roman" w:hAnsi="Times New Roman"/>
      <w:color w:val="254061" w:themeColor="accent1" w:themeShade="80"/>
    </w:rPr>
  </w:style>
  <w:style w:type="character" w:customStyle="1" w:styleId="153">
    <w:name w:val="标题 6 字符"/>
    <w:basedOn w:val="132"/>
    <w:link w:val="8"/>
    <w:uiPriority w:val="9"/>
    <w:semiHidden/>
    <w:rPr>
      <w:rFonts w:asciiTheme="majorHAnsi" w:hAnsiTheme="majorHAnsi" w:eastAsiaTheme="majorEastAsia" w:cstheme="majorBidi" w:ascii="Times New Roman" w:hAnsi="Times New Roman"/>
      <w:i/>
      <w:iCs/>
      <w:color w:val="254061" w:themeColor="accent1" w:themeShade="80"/>
    </w:rPr>
  </w:style>
  <w:style w:type="character" w:customStyle="1" w:styleId="154">
    <w:name w:val="标题 7 字符"/>
    <w:basedOn w:val="132"/>
    <w:link w:val="9"/>
    <w:uiPriority w:val="9"/>
    <w:semiHidden/>
    <w:rPr>
      <w:rFonts w:asciiTheme="majorHAnsi" w:hAnsiTheme="majorHAnsi" w:eastAsiaTheme="majorEastAsia" w:cstheme="majorBidi"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2"/>
    <w:link w:val="10"/>
    <w:uiPriority w:val="9"/>
    <w:semiHidden/>
    <w:rPr>
      <w:rFonts w:asciiTheme="majorHAnsi" w:hAnsiTheme="majorHAnsi" w:eastAsiaTheme="majorEastAsia" w:cstheme="majorBidi" w:ascii="Times New Roman" w:hAnsi="Times New Roman"/>
      <w:color w:val="4F81BD" w:themeColor="accent1"/>
      <w:sz w:val="20"/>
      <w:szCs w:val="20"/>
      <w14:textFill>
        <w14:solidFill>
          <w14:schemeClr w14:val="accent1"/>
        </w14:solidFill>
      </w14:textFill>
    </w:rPr>
  </w:style>
  <w:style w:type="character" w:customStyle="1" w:styleId="156">
    <w:name w:val="标题 9 字符"/>
    <w:basedOn w:val="132"/>
    <w:link w:val="11"/>
    <w:uiPriority w:val="9"/>
    <w:semiHidden/>
    <w:rPr>
      <w:rFonts w:asciiTheme="majorHAnsi" w:hAnsiTheme="majorHAnsi" w:eastAsiaTheme="majorEastAsia" w:cstheme="majorBidi" w:ascii="Times New Roman" w:hAnsi="Times New Roman"/>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uiPriority w:val="30"/>
    <w:qFormat/>
    <w:pPr>
      <w:pBdr>
        <w:bottom w:val="single" w:color="4F81BD" w:themeColor="accent1" w:sz="4" w:space="4"/>
      </w:pBdr>
      <w:spacing w:before="200" w:after="280"/>
      <w:ind w:left="936" w:right="936"/>
    </w:pPr>
    <w:rPr>
      <w:rFonts w:ascii="Times New Roman" w:hAnsi="Times New Roman"/>
      <w:b/>
      <w:bCs/>
      <w:i/>
      <w:iCs/>
      <w:color w:val="4F81BD" w:themeColor="accent1"/>
      <w14:textFill>
        <w14:solidFill>
          <w14:schemeClr w14:val="accent1"/>
        </w14:solidFill>
      </w14:textFill>
    </w:rPr>
  </w:style>
  <w:style w:type="character" w:customStyle="1" w:styleId="158">
    <w:name w:val="明显引用 字符"/>
    <w:basedOn w:val="132"/>
    <w:link w:val="157"/>
    <w:uiPriority w:val="30"/>
    <w:rPr>
      <w:rFonts w:ascii="Times New Roman" w:hAnsi="Times New Roman"/>
      <w:b/>
      <w:bCs/>
      <w:i/>
      <w:iCs/>
      <w:color w:val="4F81BD" w:themeColor="accent1"/>
      <w14:textFill>
        <w14:solidFill>
          <w14:schemeClr w14:val="accent1"/>
        </w14:solidFill>
      </w14:textFill>
    </w:rPr>
  </w:style>
  <w:style w:type="character" w:customStyle="1" w:styleId="159">
    <w:name w:val="不明显强调1"/>
    <w:basedOn w:val="132"/>
    <w:uiPriority w:val="19"/>
    <w:qFormat/>
    <w:rPr>
      <w:rFonts w:ascii="Times New Roman" w:hAnsi="Times New Roman"/>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2"/>
    <w:uiPriority w:val="21"/>
    <w:qFormat/>
    <w:rPr>
      <w:rFonts w:ascii="Times New Roman" w:hAnsi="Times New Roman"/>
      <w:b/>
      <w:bCs/>
      <w:i/>
      <w:iCs/>
      <w:color w:val="4F81BD" w:themeColor="accent1"/>
      <w14:textFill>
        <w14:solidFill>
          <w14:schemeClr w14:val="accent1"/>
        </w14:solidFill>
      </w14:textFill>
    </w:rPr>
  </w:style>
  <w:style w:type="character" w:customStyle="1" w:styleId="161">
    <w:name w:val="不明显参考1"/>
    <w:basedOn w:val="132"/>
    <w:uiPriority w:val="31"/>
    <w:qFormat/>
    <w:rPr>
      <w:rFonts w:ascii="Times New Roman" w:hAnsi="Times New Roman"/>
      <w:smallCaps/>
      <w:color w:val="C0504D" w:themeColor="accent2"/>
      <w:u w:val="single"/>
      <w14:textFill>
        <w14:solidFill>
          <w14:schemeClr w14:val="accent2"/>
        </w14:solidFill>
      </w14:textFill>
    </w:rPr>
  </w:style>
  <w:style w:type="character" w:customStyle="1" w:styleId="162">
    <w:name w:val="明显参考1"/>
    <w:basedOn w:val="132"/>
    <w:uiPriority w:val="32"/>
    <w:qFormat/>
    <w:rPr>
      <w:rFonts w:ascii="Times New Roman" w:hAnsi="Times New Roman"/>
      <w:b/>
      <w:bCs/>
      <w:smallCaps/>
      <w:color w:val="C0504D" w:themeColor="accent2"/>
      <w:spacing w:val="5"/>
      <w:u w:val="single"/>
      <w14:textFill>
        <w14:solidFill>
          <w14:schemeClr w14:val="accent2"/>
        </w14:solidFill>
      </w14:textFill>
    </w:rPr>
  </w:style>
  <w:style w:type="character" w:customStyle="1" w:styleId="163">
    <w:name w:val="书籍标题1"/>
    <w:basedOn w:val="132"/>
    <w:uiPriority w:val="33"/>
    <w:qFormat/>
    <w:rPr>
      <w:rFonts w:ascii="Times New Roman" w:hAnsi="Times New Roman"/>
      <w:b/>
      <w:bCs/>
      <w:smallCaps/>
      <w:spacing w:val="5"/>
    </w:rPr>
  </w:style>
  <w:style w:type="paragraph" w:customStyle="1" w:styleId="164">
    <w:name w:val="TOC 标题1"/>
    <w:basedOn w:val="3"/>
    <w:next w:val="1"/>
    <w:uiPriority w:val="39"/>
    <w:semiHidden/>
    <w:unhideWhenUsed/>
    <w:qFormat/>
    <w:pPr>
      <w:outlineLvl w:val="9"/>
    </w:pPr>
    <w:rPr>
      <w:rFonts w:ascii="Times New Roman" w:hAnsi="Times New Roman"/>
    </w:rPr>
  </w:style>
  <w:style w:type="paragraph" w:customStyle="1" w:styleId="165">
    <w:name w:val="Figure Caption"/>
    <w:basedOn w:val="1"/>
    <w:uiPriority w:val="0"/>
    <w:pPr>
      <w:keepLines/>
      <w:spacing w:before="120" w:after="60" w:line="240" w:lineRule="auto"/>
      <w:jc w:val="left"/>
    </w:pPr>
    <w:rPr>
      <w:rFonts w:eastAsia="Times New Roman" w:ascii="Times New Roman" w:hAnsi="Times New Roman"/>
      <w:sz w:val="20"/>
    </w:rPr>
  </w:style>
  <w:style w:type="paragraph" w:customStyle="1" w:styleId="166">
    <w:name w:val="Table Caption"/>
    <w:basedOn w:val="1"/>
    <w:uiPriority w:val="0"/>
    <w:pPr>
      <w:keepNext/>
      <w:keepLines/>
      <w:spacing w:before="120" w:after="60" w:line="240" w:lineRule="auto"/>
      <w:jc w:val="left"/>
    </w:pPr>
    <w:rPr>
      <w:rFonts w:eastAsia="Times New Roman" w:ascii="Times New Roman" w:hAnsi="Times New Roman"/>
      <w:b/>
      <w:sz w:val="20"/>
    </w:rPr>
  </w:style>
  <w:style w:type="paragraph" w:customStyle="1" w:styleId="167">
    <w:name w:val="Table Text"/>
    <w:basedOn w:val="1"/>
    <w:uiPriority w:val="0"/>
    <w:pPr>
      <w:spacing w:line="240" w:lineRule="auto"/>
    </w:pPr>
    <w:rPr>
      <w:rFonts w:eastAsia="Times New Roman" w:ascii="Times New Roman" w:hAnsi="Times New Roman"/>
      <w:sz w:val="18"/>
    </w:rPr>
  </w:style>
  <w:style w:type="paragraph" w:customStyle="1" w:styleId="168">
    <w:name w:val="Table Note"/>
    <w:basedOn w:val="1"/>
    <w:uiPriority w:val="0"/>
    <w:pPr>
      <w:keepLines/>
      <w:spacing w:before="40" w:after="120" w:line="240" w:lineRule="auto"/>
    </w:pPr>
    <w:rPr>
      <w:rFonts w:eastAsia="Times New Roman" w:ascii="Times New Roman" w:hAnsi="Times New Roman"/>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2928</Words>
  <Characters>19738</Characters>
  <Lines>616</Lines>
  <Paragraphs>503</Paragraphs>
  <TotalTime>0</TotalTime>
  <ScaleCrop>false</ScaleCrop>
  <LinksUpToDate>false</LinksUpToDate>
  <CharactersWithSpaces>22163</CharactersWithSpaces>
  <Application>WPS Office_11.8.2.12195_F1E327BC-269C-435d-A152-05C5408002CA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2026-07-31T06:51:00Z</dcterms:created>
  <dc:creator>Furong Zheng et al.</dc:creator>
  <dc:description>generated by python-docx</dc:description>
  <cp:lastModifiedBy>Furong Zheng et al.</cp:lastModifiedBy>
  <dcterms:modified xsi:type="dcterms:W3CDTF">2026-07-31T10:54:19Z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83301B5C7D684B8AADA3838840433C65</vt:lpwstr>
  </property>
</Properties>
</file>