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1500"/>
        <w:jc w:val="center"/>
      </w:pPr>
      <w:r>
        <w:rPr>
          <w:rFonts w:ascii="Microsoft YaHei" w:cs="Microsoft YaHei" w:eastAsia="Microsoft YaHei" w:hAnsi="Microsoft YaHei"/>
          <w:b/>
          <w:bCs/>
          <w:color w:val="17365D"/>
          <w:sz w:val="38"/>
          <w:szCs w:val="38"/>
        </w:rPr>
        <w:t xml:space="preserve">县人民医院与基层卫生院</w:t>
      </w:r>
    </w:p>
    <w:p>
      <w:pPr>
        <w:spacing w:after="250"/>
        <w:jc w:val="center"/>
      </w:pPr>
      <w:r>
        <w:rPr>
          <w:rFonts w:ascii="Microsoft YaHei" w:cs="Microsoft YaHei" w:eastAsia="Microsoft YaHei" w:hAnsi="Microsoft YaHei"/>
          <w:b/>
          <w:bCs/>
          <w:color w:val="1F4E78"/>
          <w:sz w:val="46"/>
          <w:szCs w:val="46"/>
        </w:rPr>
        <w:t xml:space="preserve">中间接口平台技术方案</w:t>
      </w:r>
    </w:p>
    <w:p>
      <w:pPr>
        <w:spacing w:after="85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对外交流版 · 私有化部署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cantSplit/>
          <w:tblHeader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文档属性</w:t>
            </w:r>
          </w:p>
        </w:tc>
        <w:tc>
          <w:tcPr>
            <w:tcW w:type="dxa" w:w="7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方案版本</w:t>
            </w:r>
          </w:p>
        </w:tc>
        <w:tc>
          <w:tcPr>
            <w:tcW w:type="dxa" w:w="7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V1.2（对外交流稿）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编制日期</w:t>
            </w:r>
          </w:p>
        </w:tc>
        <w:tc>
          <w:tcPr>
            <w:tcW w:type="dxa" w:w="7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2026年9月10日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建设方式</w:t>
            </w:r>
          </w:p>
        </w:tc>
        <w:tc>
          <w:tcPr>
            <w:tcW w:type="dxa" w:w="7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部署在医院指定的本地服务器或私有云环境中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7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县人民医院与所辖基层卫生院之间的信息化协同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主要用途</w:t>
            </w:r>
          </w:p>
        </w:tc>
        <w:tc>
          <w:tcPr>
            <w:tcW w:type="dxa" w:w="7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用于双方业务沟通、方案确认、厂商交流和项目实施准备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技术方向</w:t>
            </w:r>
          </w:p>
        </w:tc>
        <w:tc>
          <w:tcPr>
            <w:tcW w:type="dxa" w:w="7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Java、Spring Boot、MyBatis、Microsoft SQL Server、Web 管理页面</w:t>
            </w:r>
          </w:p>
        </w:tc>
      </w:tr>
    </w:tbl>
    <w:p>
      <w:pPr>
        <w:keepNext w:val="false"/>
        <w:keepLines w:val="false"/>
        <w:spacing w:after="120" w:before="340" w:line="340"/>
        <w:jc w:val="center"/>
      </w:pPr>
      <w:r>
        <w:rPr>
          <w:rFonts w:ascii="Microsoft YaHei" w:cs="Microsoft YaHei" w:eastAsia="Microsoft YaHei" w:hAnsi="Microsoft YaHei"/>
          <w:b/>
          <w:bCs/>
          <w:color w:val="C00000"/>
          <w:sz w:val="18"/>
          <w:szCs w:val="18"/>
        </w:rPr>
        <w:t xml:space="preserve">说明：本方案用于项目交流和建设范围确认，具体接口以正式接口文件、接入审批和双方确认结果为准。</w:t>
      </w:r>
    </w:p>
    <w:p>
      <w:r>
        <w:br w:type="page"/>
      </w:r>
    </w:p>
    <w:p>
      <w:pPr>
        <w:pStyle w:val="Heading1"/>
        <w:keepNext/>
        <w:keepLines/>
        <w:spacing w:after="120" w:before="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一、项目需求</w:t>
      </w:r>
    </w:p>
    <w:p>
      <w:pPr>
        <w:keepNext w:val="false"/>
        <w:keepLines w:val="false"/>
        <w:spacing w:after="120" w:before="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项目不是简单地“把两个系统连起来”，而是要让县人民医院与所辖基层卫生院形成可管理、可追踪、可验收的双向业务协作关系。相关平台和信息系统为双方协同提供技术支撑，但不增加新的业务层级。对接工作的核心，是明确双方哪些业务要协同、各自提供和使用什么信息、由谁负责、何时完成、出现问题如何处理，以及什么证据能够证明真正可用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100"/>
      </w:tblGrid>
      <w:tr>
        <w:trPr>
          <w:cantSplit/>
          <w:tblHeader/>
        </w:trPr>
        <w:tc>
          <w:tcPr>
            <w:tcW w:type="dxa" w:w="2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管理结论</w:t>
            </w:r>
          </w:p>
        </w:tc>
        <w:tc>
          <w:tcPr>
            <w:tcW w:type="dxa" w:w="7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建议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建设方式</w:t>
            </w:r>
          </w:p>
        </w:tc>
        <w:tc>
          <w:tcPr>
            <w:tcW w:type="dxa" w:w="7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由医院统一组织对接，各业务系统通过院内统一对接能力交换信息，避免各厂商各自建设、重复投入和责任不清。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范围口径</w:t>
            </w:r>
          </w:p>
        </w:tc>
        <w:tc>
          <w:tcPr>
            <w:tcW w:type="dxa" w:w="7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现有材料形成75项业务能力盘点，但这只是规划清单，不等于75项全部立刻建设，也不等于平台主管部门已全部批准。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推进顺序</w:t>
            </w:r>
          </w:p>
        </w:tc>
        <w:tc>
          <w:tcPr>
            <w:tcW w:type="dxa" w:w="7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先完成审批、责任、环境和基础信息准备，再推进健康档案、体检、检查检验报告等核心业务，随后分阶段扩展。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验收原则</w:t>
            </w:r>
          </w:p>
        </w:tc>
        <w:tc>
          <w:tcPr>
            <w:tcW w:type="dxa" w:w="7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以真实业务闭环和可复核记录为准，不以口头确认、页面能打开或单次调用成功作为完成依据。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上线原则</w:t>
            </w:r>
          </w:p>
        </w:tc>
        <w:tc>
          <w:tcPr>
            <w:tcW w:type="dxa" w:w="7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按业务领域分批试运行；任何患者错配、越权访问或无法确认的错误写入，都应立即停止相关写入。</w:t>
            </w:r>
          </w:p>
        </w:tc>
      </w:tr>
    </w:tbl>
    <w:p>
      <w:pPr>
        <w:pStyle w:val="Heading2"/>
        <w:keepNext/>
        <w:keepLines/>
        <w:spacing w:after="120" w:before="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1.1 项目建设要求</w:t>
      </w:r>
    </w:p>
    <w:p>
      <w:pPr>
        <w:pStyle w:val="ListParagraph"/>
        <w:numPr>
          <w:ilvl w:val="0"/>
          <w:numId w:val="2"/>
        </w:numPr>
        <w:spacing w:after="85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确认首期建设范围：建议先做基础准备、健康档案与体检、检查检验与心电报告闭环。</w:t>
      </w:r>
    </w:p>
    <w:p>
      <w:pPr>
        <w:pStyle w:val="ListParagraph"/>
        <w:numPr>
          <w:ilvl w:val="0"/>
          <w:numId w:val="2"/>
        </w:numPr>
        <w:spacing w:after="85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确认项目牵头人、各业务领域负责人、厂商负责人和最终验收人。</w:t>
      </w:r>
    </w:p>
    <w:p>
      <w:pPr>
        <w:pStyle w:val="ListParagraph"/>
        <w:numPr>
          <w:ilvl w:val="0"/>
          <w:numId w:val="2"/>
        </w:numPr>
        <w:spacing w:after="85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确认平台主管部门负责提供正式接入文件、测试环境、账号授权及现有规范争议的书面结论。</w:t>
      </w:r>
    </w:p>
    <w:p>
      <w:pPr>
        <w:pStyle w:val="ListParagraph"/>
        <w:numPr>
          <w:ilvl w:val="0"/>
          <w:numId w:val="2"/>
        </w:numPr>
        <w:spacing w:after="85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确认电子病历回写是否纳入必做范围；现有清单写“不做”，但接口规范要求形成闭环。</w:t>
      </w:r>
    </w:p>
    <w:p>
      <w:pPr>
        <w:pStyle w:val="ListParagraph"/>
        <w:numPr>
          <w:ilvl w:val="0"/>
          <w:numId w:val="2"/>
        </w:numPr>
        <w:spacing w:after="85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确认生产上线采用分批试运行，并预留停止写入和恢复原流程的窗口。</w:t>
      </w:r>
    </w:p>
    <w:p>
      <w:pPr>
        <w:pStyle w:val="Heading2"/>
        <w:keepNext/>
        <w:keepLines/>
        <w:spacing w:after="120" w:before="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1.2 主要问题与预期成效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2900"/>
      </w:tblGrid>
      <w:tr>
        <w:trPr>
          <w:cantSplit/>
          <w:tblHeader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当前痛点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对接后的目标状态</w:t>
            </w:r>
          </w:p>
        </w:tc>
        <w:tc>
          <w:tcPr>
            <w:tcW w:type="dxa" w:w="2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可见成效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系统多、厂商多，问题发生后难判断责任归属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统一入口、统一台账、统一问题编号</w:t>
            </w:r>
          </w:p>
        </w:tc>
        <w:tc>
          <w:tcPr>
            <w:tcW w:type="dxa" w:w="2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问题能够定位到业务、系统、责任人和处理阶段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健康档案、体检和报告信息存在重复录入或回传不及时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业务完成后按规则自动交换并核对结果</w:t>
            </w:r>
          </w:p>
        </w:tc>
        <w:tc>
          <w:tcPr>
            <w:tcW w:type="dxa" w:w="2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减少重复操作，及时发现漏传、错传和重复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机构、人员、科室、诊断等基础信息口径不一致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建立统一映射并明确维护责任</w:t>
            </w:r>
          </w:p>
        </w:tc>
        <w:tc>
          <w:tcPr>
            <w:tcW w:type="dxa" w:w="2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降低人员、机构和患者匹配错误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部分业务依赖多个系统，单个接口成功仍无法完成全流程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按患者实际就医场景进行端到端验收</w:t>
            </w:r>
          </w:p>
        </w:tc>
        <w:tc>
          <w:tcPr>
            <w:tcW w:type="dxa" w:w="2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以挂号、就诊、报告、病历、转诊等完整结果判断成败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发生异常时缺少补救、对账和追踪手段</w:t>
            </w:r>
          </w:p>
        </w:tc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保留状态记录，支持核对、补偿和人工处理</w:t>
            </w:r>
          </w:p>
        </w:tc>
        <w:tc>
          <w:tcPr>
            <w:tcW w:type="dxa" w:w="2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避免重复收费、重复写入或长期积压无人处理</w:t>
            </w:r>
          </w:p>
        </w:tc>
      </w:tr>
    </w:tbl>
    <w:p>
      <w:pPr>
        <w:pStyle w:val="Heading1"/>
        <w:keepNext/>
        <w:keepLines/>
        <w:spacing w:after="120" w:before="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二、平台定位和总体结构</w:t>
      </w:r>
    </w:p>
    <w:p>
      <w:pPr>
        <w:pStyle w:val="Heading2"/>
        <w:keepNext/>
        <w:keepLines/>
        <w:spacing w:after="120" w:before="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（一）平台定位</w:t>
      </w:r>
    </w:p>
    <w:p>
      <w:pPr>
        <w:keepNext w:val="false"/>
        <w:keepLines w:val="false"/>
        <w:spacing w:after="120" w:before="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中间接口平台部署在县人民医院指定环境内，对县人民医院和基层卫生院提供统一接口服务。平台向县医院侧连接 HIS、电子病历、LIS、PACS 等系统，向基层侧连接基层 HIS、业务工作站或经批准的统建系统。</w:t>
      </w:r>
    </w:p>
    <w:p>
      <w:pPr>
        <w:keepNext w:val="false"/>
        <w:keepLines w:val="false"/>
        <w:spacing w:after="120" w:before="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平台不改变双方现有系统的业务职责。原系统继续负责业务办理和数据维护，中间接口平台只交换本次协同所需的数据，并保存必要的处理记录和结果回执。</w:t>
      </w:r>
    </w:p>
    <w:p>
      <w:pPr>
        <w:pStyle w:val="Heading2"/>
        <w:keepNext/>
        <w:keepLines/>
        <w:spacing w:after="120" w:before="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（二）总体结构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800"/>
        <w:gridCol w:w="2700"/>
      </w:tblGrid>
      <w:tr>
        <w:trPr>
          <w:cantSplit/>
          <w:tblHeader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信息来源</w:t>
            </w:r>
          </w:p>
        </w:tc>
        <w:tc>
          <w:tcPr>
            <w:tcW w:type="dxa" w:w="3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中间接口平台</w:t>
            </w:r>
          </w:p>
        </w:tc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信息接收方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县人民医院 HIS、电子病历、LIS、PACS 等</w:t>
            </w:r>
          </w:p>
        </w:tc>
        <w:tc>
          <w:tcPr>
            <w:tcW w:type="dxa" w:w="3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统一接入、身份验证、数据检查、格式转换、防止重复、失败重试、过程记录、运行管理</w:t>
            </w:r>
          </w:p>
        </w:tc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所辖基层卫生院业务系统或工作站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所辖基层卫生院 HIS、业务工作站或统建系统</w:t>
            </w:r>
          </w:p>
        </w:tc>
        <w:tc>
          <w:tcPr>
            <w:tcW w:type="dxa" w:w="3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双向交换，同一平台统一管理</w:t>
            </w:r>
          </w:p>
        </w:tc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县人民医院相关业务系统</w:t>
            </w:r>
          </w:p>
        </w:tc>
      </w:tr>
    </w:tbl>
    <w:p>
      <w:pPr>
        <w:keepNext w:val="false"/>
        <w:keepLines w:val="false"/>
        <w:spacing w:after="120" w:before="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数据根据业务需要双向流动。例如，基层卫生院可向县人民医院提交转诊或检查申请，县人民医院可向基层卫生院反馈受理状态、检查报告、诊疗建议和后续处理结果。</w:t>
      </w:r>
    </w:p>
    <w:p>
      <w:pPr>
        <w:pStyle w:val="Heading2"/>
        <w:keepNext/>
        <w:keepLines/>
        <w:spacing w:after="120" w:before="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（三）技术方向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400"/>
      </w:tblGrid>
      <w:tr>
        <w:trPr>
          <w:cantSplit/>
          <w:tblHeader/>
        </w:trPr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建议选择</w:t>
            </w:r>
          </w:p>
        </w:tc>
        <w:tc>
          <w:tcPr>
            <w:tcW w:type="dxa" w:w="4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后台服务</w:t>
            </w:r>
          </w:p>
        </w:tc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Java 21、Spring Boot 3.5、MyBatis</w:t>
            </w:r>
          </w:p>
        </w:tc>
        <w:tc>
          <w:tcPr>
            <w:tcW w:type="dxa" w:w="4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采用成熟稳定的 Java 技术体系建设一套后台服务；后续具备条件时再升级 Spring Boot 4。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数据库</w:t>
            </w:r>
          </w:p>
        </w:tc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Microsoft SQL Server 2019/2022</w:t>
            </w:r>
          </w:p>
        </w:tc>
        <w:tc>
          <w:tcPr>
            <w:tcW w:type="dxa" w:w="4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与医院现有技术体系保持一致，具体版本以医院现网支持情况为准。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管理页面</w:t>
            </w:r>
          </w:p>
        </w:tc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Vue 3 + TypeScript</w:t>
            </w:r>
          </w:p>
        </w:tc>
        <w:tc>
          <w:tcPr>
            <w:tcW w:type="dxa" w:w="4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用于机构、接口、运行记录、异常和系统配置管理。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嵌入页面</w:t>
            </w:r>
          </w:p>
        </w:tc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网页组件或嵌入页面</w:t>
            </w:r>
          </w:p>
        </w:tc>
        <w:tc>
          <w:tcPr>
            <w:tcW w:type="dxa" w:w="4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根据 HIS、基层工作站的浏览器环境选择，不强制原系统采用同一前端技术。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500"/>
      </w:tblGrid>
      <w:tr>
        <w:trPr>
          <w:cantSplit/>
        </w:trPr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版本说明</w:t>
            </w:r>
          </w:p>
        </w:tc>
        <w:tc>
          <w:tcPr>
            <w:tcW w:type="dxa" w:w="7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FF2C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首期使用 Spring Boot 3.5 建设，不在同一系统中同时运行 Spring Boot 3 和 4。升级到 Spring Boot 4 前，应完成依赖检查、功能测试、性能测试和试运行。</w:t>
            </w:r>
          </w:p>
        </w:tc>
      </w:tr>
    </w:tbl>
    <w:p>
      <w:pPr>
        <w:pStyle w:val="Heading1"/>
        <w:keepNext/>
        <w:keepLines/>
        <w:spacing w:after="120" w:before="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三、主要建设内容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cantSplit/>
          <w:tblHeader/>
        </w:trPr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建设内容</w:t>
            </w:r>
          </w:p>
        </w:tc>
        <w:tc>
          <w:tcPr>
            <w:tcW w:type="dxa" w:w="6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主要功能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统一接口服务</w:t>
            </w:r>
          </w:p>
        </w:tc>
        <w:tc>
          <w:tcPr>
            <w:tcW w:type="dxa" w:w="6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为县人民医院和基层卫生院提供统一访问地址、身份验证和调用规则；支持现有 REST、WebService、JSON、FHIR 等接口形式。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数据转换服务</w:t>
            </w:r>
          </w:p>
        </w:tc>
        <w:tc>
          <w:tcPr>
            <w:tcW w:type="dxa" w:w="6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完成双方字段、机构、人员、科室和业务编码转换；对缺少必要信息的数据及时提示。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数据交换管理</w:t>
            </w:r>
          </w:p>
        </w:tc>
        <w:tc>
          <w:tcPr>
            <w:tcW w:type="dxa" w:w="6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统一接收、发送和记录数据；防止同一业务被重复处理；对临时失败进行再次处理。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业务状态查询</w:t>
            </w:r>
          </w:p>
        </w:tc>
        <w:tc>
          <w:tcPr>
            <w:tcW w:type="dxa" w:w="6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按机构、业务类型、业务单号或跟踪编号查询处理过程和最终结果。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异常处理</w:t>
            </w:r>
          </w:p>
        </w:tc>
        <w:tc>
          <w:tcPr>
            <w:tcW w:type="dxa" w:w="6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集中展示失败原因、影响范围和处理建议；经授权后可再次发送或转人工处理。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对账管理</w:t>
            </w:r>
          </w:p>
        </w:tc>
        <w:tc>
          <w:tcPr>
            <w:tcW w:type="dxa" w:w="6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定期核对发送数量、接收结果和业务状态，发现双方记录不一致时形成差异清单。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机构和接口管理</w:t>
            </w:r>
          </w:p>
        </w:tc>
        <w:tc>
          <w:tcPr>
            <w:tcW w:type="dxa" w:w="6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管理接入机构、系统、接口范围、访问期限、接口地址、启停状态和变更记录。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运行监控</w:t>
            </w:r>
          </w:p>
        </w:tc>
        <w:tc>
          <w:tcPr>
            <w:tcW w:type="dxa" w:w="6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展示接口成功率、响应时间、待处理数量、异常趋势和上下游系统运行情况。</w:t>
            </w:r>
          </w:p>
        </w:tc>
      </w:tr>
    </w:tbl>
    <w:p>
      <w:pPr>
        <w:pStyle w:val="Heading2"/>
        <w:keepNext/>
        <w:keepLines/>
        <w:spacing w:after="120" w:before="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（一）管理端 Web</w:t>
      </w:r>
    </w:p>
    <w:p>
      <w:pPr>
        <w:keepNext w:val="false"/>
        <w:keepLines w:val="false"/>
        <w:spacing w:after="120" w:before="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管理端主要面向医院信息科、实施和运维人员。不同人员根据职责查看相应机构和功能，敏感信息默认隐藏，重要操作保留完整记录。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cantSplit/>
          <w:tblHeader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页面</w:t>
            </w:r>
          </w:p>
        </w:tc>
        <w:tc>
          <w:tcPr>
            <w:tcW w:type="dxa" w:w="7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主要内容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运行概览</w:t>
            </w:r>
          </w:p>
        </w:tc>
        <w:tc>
          <w:tcPr>
            <w:tcW w:type="dxa" w:w="7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今日交换数量、成功情况、待处理数量、主要异常和系统连接状态。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交换记录</w:t>
            </w:r>
          </w:p>
        </w:tc>
        <w:tc>
          <w:tcPr>
            <w:tcW w:type="dxa" w:w="7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查询每笔业务从哪里发起、发送到哪里、当前状态、处理时间和失败原因。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异常处理</w:t>
            </w:r>
          </w:p>
        </w:tc>
        <w:tc>
          <w:tcPr>
            <w:tcW w:type="dxa" w:w="7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查看待处理事项、再次发送、填写处理说明和记录处理结果。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接口管理</w:t>
            </w:r>
          </w:p>
        </w:tc>
        <w:tc>
          <w:tcPr>
            <w:tcW w:type="dxa" w:w="7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维护接口名称、业务用途、责任方、访问地址、启停状态和适用机构。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机构与权限</w:t>
            </w:r>
          </w:p>
        </w:tc>
        <w:tc>
          <w:tcPr>
            <w:tcW w:type="dxa" w:w="7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维护县人民医院、基层卫生院、接入系统、使用人员和可查看的数据范围。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对账与报表</w:t>
            </w:r>
          </w:p>
        </w:tc>
        <w:tc>
          <w:tcPr>
            <w:tcW w:type="dxa" w:w="7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按日或按月形成运行统计、差异清单和项目验收材料。</w:t>
            </w:r>
          </w:p>
        </w:tc>
      </w:tr>
    </w:tbl>
    <w:p>
      <w:pPr>
        <w:pStyle w:val="Heading2"/>
        <w:keepNext/>
        <w:keepLines/>
        <w:spacing w:after="120" w:before="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（二）嵌入式页面组件</w:t>
      </w:r>
    </w:p>
    <w:p>
      <w:pPr>
        <w:keepNext w:val="false"/>
        <w:keepLines w:val="false"/>
        <w:spacing w:after="120" w:before="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对于需要在 HIS 或基层工作站中直接使用的业务，可提供轻量页面组件，例如转诊进度、患者协同摘要、检查检验结果和异常提醒。用户从原系统进入时，由原系统确认身份并传递一次性短期凭证，无需再次输入平台账号。</w:t>
      </w:r>
    </w:p>
    <w:p>
      <w:pPr>
        <w:keepNext w:val="false"/>
        <w:keepLines w:val="false"/>
        <w:spacing w:after="120" w:before="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是否采用网页组件或嵌入页面，应根据现有系统支持的浏览器或页面内核确定。嵌入页面加载失败时不得影响 HIS 原有业务操作，并应提供独立打开或报障方式。</w:t>
      </w:r>
    </w:p>
    <w:p>
      <w:pPr>
        <w:pStyle w:val="Heading1"/>
        <w:keepNext/>
        <w:keepLines/>
        <w:spacing w:after="120" w:before="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四、业务数据如何交换</w:t>
      </w:r>
    </w:p>
    <w:p>
      <w:pPr>
        <w:pStyle w:val="Heading2"/>
        <w:keepNext/>
        <w:keepLines/>
        <w:spacing w:after="120" w:before="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（一）即时查询</w:t>
      </w:r>
    </w:p>
    <w:p>
      <w:pPr>
        <w:keepNext w:val="false"/>
        <w:keepLines w:val="false"/>
        <w:spacing w:after="120" w:before="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适用于需要马上看到结果的场景，如查询机构、人员、患者摘要、转诊状态或报告信息。平台接到请求后完成身份检查、数据转换和目标系统调用，再把统一结果返回给业务系统。若目标系统暂时不可用，应返回明确提示和跟踪编号。</w:t>
      </w:r>
    </w:p>
    <w:p>
      <w:pPr>
        <w:pStyle w:val="Heading2"/>
        <w:keepNext/>
        <w:keepLines/>
        <w:spacing w:after="120" w:before="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（二）可靠发送</w:t>
      </w:r>
    </w:p>
    <w:p>
      <w:pPr>
        <w:keepNext w:val="false"/>
        <w:keepLines w:val="false"/>
        <w:spacing w:after="120" w:before="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适用于档案上传、检查检验报告回传、转诊提交等写入类业务。平台先可靠保存本次请求并返回“已受理”，再向目标系统发送。只有取得对方明确的业务成功结果，才能标记为完成；连接成功或收到普通网页响应不代表业务已经成功。</w:t>
      </w:r>
    </w:p>
    <w:p>
      <w:pPr>
        <w:pStyle w:val="Heading2"/>
        <w:keepNext/>
        <w:keepLines/>
        <w:spacing w:after="120" w:before="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（三）处理状态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rPr>
          <w:cantSplit/>
          <w:tblHeader/>
        </w:trPr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对外状态</w:t>
            </w:r>
          </w:p>
        </w:tc>
        <w:tc>
          <w:tcPr>
            <w:tcW w:type="dxa" w:w="6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已受理</w:t>
            </w:r>
          </w:p>
        </w:tc>
        <w:tc>
          <w:tcPr>
            <w:tcW w:type="dxa" w:w="6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平台已收到请求并生成跟踪编号。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处理中</w:t>
            </w:r>
          </w:p>
        </w:tc>
        <w:tc>
          <w:tcPr>
            <w:tcW w:type="dxa" w:w="6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平台正在检查数据或向目标系统发送。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处理成功</w:t>
            </w:r>
          </w:p>
        </w:tc>
        <w:tc>
          <w:tcPr>
            <w:tcW w:type="dxa" w:w="6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目标系统已明确返回业务成功结果。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等待再次处理</w:t>
            </w:r>
          </w:p>
        </w:tc>
        <w:tc>
          <w:tcPr>
            <w:tcW w:type="dxa" w:w="6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因临时网络或系统故障，平台将在规定时间内再次处理。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需要人工处理</w:t>
            </w:r>
          </w:p>
        </w:tc>
        <w:tc>
          <w:tcPr>
            <w:tcW w:type="dxa" w:w="6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平台无法自动判断或已达到再次处理次数，需要相关人员确认。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业务未通过</w:t>
            </w:r>
          </w:p>
        </w:tc>
        <w:tc>
          <w:tcPr>
            <w:tcW w:type="dxa" w:w="6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目标系统明确拒绝，需根据返回原因修改数据或业务条件。</w:t>
            </w:r>
          </w:p>
        </w:tc>
      </w:tr>
    </w:tbl>
    <w:p>
      <w:pPr>
        <w:pStyle w:val="Heading2"/>
        <w:keepNext/>
        <w:keepLines/>
        <w:spacing w:after="120" w:before="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（四）防止重复和数据对账</w:t>
      </w:r>
    </w:p>
    <w:p>
      <w:pPr>
        <w:keepNext w:val="false"/>
        <w:keepLines w:val="false"/>
        <w:spacing w:after="120" w:before="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平台根据机构、来源系统、业务类型、业务单号和数据版本识别同一笔业务。重复请求不重复创建业务结果，而是返回原有处理记录。对于处理超时但结果不明确的情况，优先查询原处理状态，不直接再次发送。</w:t>
      </w:r>
    </w:p>
    <w:p>
      <w:pPr>
        <w:keepNext w:val="false"/>
        <w:keepLines w:val="false"/>
        <w:spacing w:after="120" w:before="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平台按约定周期对比已发送记录、对方回执和双方业务状态，形成差异清单。涉及挂号、缴费、退费等高风险业务时，未确认结果前不得自动重复操作。</w:t>
      </w:r>
    </w:p>
    <w:p>
      <w:pPr>
        <w:pStyle w:val="Heading1"/>
        <w:keepNext/>
        <w:keepLines/>
        <w:spacing w:after="120" w:before="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五、私有化部署方案</w:t>
      </w:r>
    </w:p>
    <w:p>
      <w:pPr>
        <w:pStyle w:val="Heading2"/>
        <w:keepNext/>
        <w:keepLines/>
        <w:spacing w:after="120" w:before="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（一）部署原则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cantSplit/>
          <w:tblHeader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原则</w:t>
            </w:r>
          </w:p>
        </w:tc>
        <w:tc>
          <w:tcPr>
            <w:tcW w:type="dxa" w:w="7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具体要求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院内部署</w:t>
            </w:r>
          </w:p>
        </w:tc>
        <w:tc>
          <w:tcPr>
            <w:tcW w:type="dxa" w:w="7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后台服务、数据库、管理页面和运行日志部署在医院指定的本地机房或私有云环境中。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统一出口</w:t>
            </w:r>
          </w:p>
        </w:tc>
        <w:tc>
          <w:tcPr>
            <w:tcW w:type="dxa" w:w="7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平台通过医院批准的专网或受控网络访问外部系统；基层卫生院通过规定网络访问平台。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环境分开</w:t>
            </w:r>
          </w:p>
        </w:tc>
        <w:tc>
          <w:tcPr>
            <w:tcW w:type="dxa" w:w="7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测试、联调和生产环境分别使用独立地址、数据库、账号和访问凭证。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数据不外流</w:t>
            </w:r>
          </w:p>
        </w:tc>
        <w:tc>
          <w:tcPr>
            <w:tcW w:type="dxa" w:w="7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除正式接口要求发送的数据外，不向外部厂商平台同步运行日志、患者数据或数据库备份。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远程访问受控</w:t>
            </w:r>
          </w:p>
        </w:tc>
        <w:tc>
          <w:tcPr>
            <w:tcW w:type="dxa" w:w="7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外部厂商不默认拥有生产环境远程访问权限；确需支持时按医院审批、限定时间和操作范围，并保留记录。</w:t>
            </w:r>
          </w:p>
        </w:tc>
      </w:tr>
    </w:tbl>
    <w:p>
      <w:pPr>
        <w:pStyle w:val="Heading2"/>
        <w:keepNext/>
        <w:keepLines/>
        <w:spacing w:after="120" w:before="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（二）建议部署组成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900"/>
      </w:tblGrid>
      <w:tr>
        <w:trPr>
          <w:cantSplit/>
          <w:tblHeader/>
        </w:trPr>
        <w:tc>
          <w:tcPr>
            <w:tcW w:type="dxa" w:w="2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组成</w:t>
            </w:r>
          </w:p>
        </w:tc>
        <w:tc>
          <w:tcPr>
            <w:tcW w:type="dxa" w:w="6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建议方式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访问入口</w:t>
            </w:r>
          </w:p>
        </w:tc>
        <w:tc>
          <w:tcPr>
            <w:tcW w:type="dxa" w:w="6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使用医院现有网关、负载均衡或 Nginx，统一处理 HTTPS 证书、访问来源限制和流量控制。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平台服务</w:t>
            </w:r>
          </w:p>
        </w:tc>
        <w:tc>
          <w:tcPr>
            <w:tcW w:type="dxa" w:w="6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部署一套中间接口平台应用；生产环境建议运行两个服务实例，单个实例维护时业务仍可继续。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平台数据库</w:t>
            </w:r>
          </w:p>
        </w:tc>
        <w:tc>
          <w:tcPr>
            <w:tcW w:type="dxa" w:w="6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使用 Microsoft SQL Server 2019/2022，建立独立的平台数据库、账号、备份和维护计划。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前端页面</w:t>
            </w:r>
          </w:p>
        </w:tc>
        <w:tc>
          <w:tcPr>
            <w:tcW w:type="dxa" w:w="6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管理端和嵌入页面部署在医院指定服务器，通过平台后台服务访问数据。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监控与备份</w:t>
            </w:r>
          </w:p>
        </w:tc>
        <w:tc>
          <w:tcPr>
            <w:tcW w:type="dxa" w:w="6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优先接入医院现有监控、日志和备份体系，明确告警接收人和恢复流程。</w:t>
            </w:r>
          </w:p>
        </w:tc>
      </w:tr>
    </w:tbl>
    <w:p>
      <w:pPr>
        <w:pStyle w:val="Heading2"/>
        <w:keepNext/>
        <w:keepLines/>
        <w:spacing w:after="120" w:before="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（三）与 HIS 数据库的关系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500"/>
      </w:tblGrid>
      <w:tr>
        <w:trPr>
          <w:cantSplit/>
        </w:trPr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必须明确</w:t>
            </w:r>
          </w:p>
        </w:tc>
        <w:tc>
          <w:tcPr>
            <w:tcW w:type="dxa" w:w="7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平台可以采用与 HIS 相同的 SQL Server 技术，也可以在条件允许时复用同一数据库服务器，但必须建立独立数据库和独立账号，不在 HIS 业务数据库中直接建立平台表。</w:t>
            </w:r>
          </w:p>
        </w:tc>
      </w:tr>
    </w:tbl>
    <w:p>
      <w:pPr>
        <w:pStyle w:val="ListParagraph"/>
        <w:numPr>
          <w:ilvl w:val="0"/>
          <w:numId w:val="2"/>
        </w:numPr>
        <w:spacing w:after="85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平台数据库只保存接口配置、交换过程、必要回执、对账和审计信息，不作为新的完整病历数据库。</w:t>
      </w:r>
    </w:p>
    <w:p>
      <w:pPr>
        <w:pStyle w:val="ListParagraph"/>
        <w:numPr>
          <w:ilvl w:val="0"/>
          <w:numId w:val="2"/>
        </w:numPr>
        <w:spacing w:after="85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读取 HIS 数据优先通过 HIS 厂商提供的正式服务；如必须使用数据库视图，应由医院和 HIS 厂商共同确认，并使用只读账号。</w:t>
      </w:r>
    </w:p>
    <w:p>
      <w:pPr>
        <w:pStyle w:val="ListParagraph"/>
        <w:numPr>
          <w:ilvl w:val="0"/>
          <w:numId w:val="2"/>
        </w:numPr>
        <w:spacing w:after="85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平台访问不得影响 HIS 正常运行，应限制数据库连接数量、查询时间和批量任务时间。</w:t>
      </w:r>
    </w:p>
    <w:p>
      <w:pPr>
        <w:pStyle w:val="ListParagraph"/>
        <w:numPr>
          <w:ilvl w:val="0"/>
          <w:numId w:val="2"/>
        </w:numPr>
        <w:spacing w:after="85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平台数据库应单独备份和恢复。复用同一服务器时，要评估 CPU、内存、磁盘、备份窗口和故障影响。</w:t>
      </w:r>
    </w:p>
    <w:p>
      <w:pPr>
        <w:pStyle w:val="Heading1"/>
        <w:keepNext/>
        <w:keepLines/>
        <w:spacing w:after="120" w:before="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六、安全和运行保障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100"/>
      </w:tblGrid>
      <w:tr>
        <w:trPr>
          <w:cantSplit/>
          <w:tblHeader/>
        </w:trPr>
        <w:tc>
          <w:tcPr>
            <w:tcW w:type="dxa" w:w="2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方面</w:t>
            </w:r>
          </w:p>
        </w:tc>
        <w:tc>
          <w:tcPr>
            <w:tcW w:type="dxa" w:w="7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保障措施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身份与权限</w:t>
            </w:r>
          </w:p>
        </w:tc>
        <w:tc>
          <w:tcPr>
            <w:tcW w:type="dxa" w:w="7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按人员、机构和职责分配权限；基层卫生院只能查看本机构获准使用的数据。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接口凭证</w:t>
            </w:r>
          </w:p>
        </w:tc>
        <w:tc>
          <w:tcPr>
            <w:tcW w:type="dxa" w:w="7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账号、密钥、验证码和访问凭证由平台统一保管，按机构和环境区分，不保存在客户端或普通日志中。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传输安全</w:t>
            </w:r>
          </w:p>
        </w:tc>
        <w:tc>
          <w:tcPr>
            <w:tcW w:type="dxa" w:w="7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优先使用医疗专网；需要互联网访问时，必须经过审批并采用 HTTPS、固定访问来源和安全防护。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数据保护</w:t>
            </w:r>
          </w:p>
        </w:tc>
        <w:tc>
          <w:tcPr>
            <w:tcW w:type="dxa" w:w="7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仅交换业务必需数据；姓名、证件号、电话、病历和报告等敏感信息在日志和页面中按权限隐藏。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操作记录</w:t>
            </w:r>
          </w:p>
        </w:tc>
        <w:tc>
          <w:tcPr>
            <w:tcW w:type="dxa" w:w="7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登录、查询、导出、再次发送、权限修改和接口配置变更均记录操作人、时间和内容。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备份恢复</w:t>
            </w:r>
          </w:p>
        </w:tc>
        <w:tc>
          <w:tcPr>
            <w:tcW w:type="dxa" w:w="7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数据库、配置和必要文件按医院制度备份，并定期验证能否恢复。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运行告警</w:t>
            </w:r>
          </w:p>
        </w:tc>
        <w:tc>
          <w:tcPr>
            <w:tcW w:type="dxa" w:w="7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对接口连续失败、凭证失效、待处理积压、数据不一致和异常访问及时通知责任人。</w:t>
            </w:r>
          </w:p>
        </w:tc>
      </w:tr>
    </w:tbl>
    <w:p>
      <w:pPr>
        <w:keepNext w:val="false"/>
        <w:keepLines w:val="false"/>
        <w:spacing w:after="120" w:before="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系统安全等级、日志保存期限、数据分类、密码应用和备份恢复目标，由医院安全和运维部门结合现有制度最终确认。</w:t>
      </w:r>
    </w:p>
    <w:p>
      <w:pPr>
        <w:pStyle w:val="Heading2"/>
        <w:keepNext/>
        <w:keepLines/>
        <w:spacing w:after="120" w:before="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（一）建议运行目标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900"/>
      </w:tblGrid>
      <w:tr>
        <w:trPr>
          <w:cantSplit/>
          <w:tblHeader/>
        </w:trPr>
        <w:tc>
          <w:tcPr>
            <w:tcW w:type="dxa" w:w="2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dxa" w:w="6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建议目标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平台可用性</w:t>
            </w:r>
          </w:p>
        </w:tc>
        <w:tc>
          <w:tcPr>
            <w:tcW w:type="dxa" w:w="6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每月不低于 99.9%，已批准的维护时间除外。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即时查询</w:t>
            </w:r>
          </w:p>
        </w:tc>
        <w:tc>
          <w:tcPr>
            <w:tcW w:type="dxa" w:w="6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普通查询原则上在 15 秒内返回；大病历或大报告可按接口单独设置。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请求受理</w:t>
            </w:r>
          </w:p>
        </w:tc>
        <w:tc>
          <w:tcPr>
            <w:tcW w:type="dxa" w:w="6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可靠发送类请求原则上在 1 秒内完成本地受理并返回跟踪编号。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数据恢复</w:t>
            </w:r>
          </w:p>
        </w:tc>
        <w:tc>
          <w:tcPr>
            <w:tcW w:type="dxa" w:w="6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建议最多丢失 15 分钟内的数据，发生故障后 2 小时内恢复；最终以医院现有能力确认。</w:t>
            </w:r>
          </w:p>
        </w:tc>
      </w:tr>
    </w:tbl>
    <w:p>
      <w:pPr>
        <w:pStyle w:val="Heading1"/>
        <w:keepNext/>
        <w:keepLines/>
        <w:spacing w:after="120" w:before="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七、建设步骤和验收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000"/>
      </w:tblGrid>
      <w:tr>
        <w:trPr>
          <w:cantSplit/>
          <w:tblHeader/>
        </w:trPr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dxa" w:w="4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主要工作</w:t>
            </w:r>
          </w:p>
        </w:tc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完成标志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第一阶段：需求确认</w:t>
            </w:r>
          </w:p>
        </w:tc>
        <w:tc>
          <w:tcPr>
            <w:tcW w:type="dxa" w:w="4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确认机构名单、业务场景、首批接口、数据范围、责任人和验收方式。</w:t>
            </w:r>
          </w:p>
        </w:tc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形成双方确认的业务范围和接口清单。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第二阶段：接入准备</w:t>
            </w:r>
          </w:p>
        </w:tc>
        <w:tc>
          <w:tcPr>
            <w:tcW w:type="dxa" w:w="4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取得正式接口文件、测试数据、网络地址、访问凭证和厂商支持安排。</w:t>
            </w:r>
          </w:p>
        </w:tc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各项接入条件具备，问题和差异有书面结论。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第三阶段：平台建设</w:t>
            </w:r>
          </w:p>
        </w:tc>
        <w:tc>
          <w:tcPr>
            <w:tcW w:type="dxa" w:w="4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完成平台基础服务、管理页面、权限、运行记录、异常处理和部署环境。</w:t>
            </w:r>
          </w:p>
        </w:tc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平台基础功能和私有化部署验证通过。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第四阶段：首个闭环</w:t>
            </w:r>
          </w:p>
        </w:tc>
        <w:tc>
          <w:tcPr>
            <w:tcW w:type="dxa" w:w="4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选择一个风险较低、责任清晰的业务，从基层发起到县医院反馈全流程打通。</w:t>
            </w:r>
          </w:p>
        </w:tc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正常、重复、故障恢复、对账和业务使用均通过。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第五阶段：分批扩展</w:t>
            </w:r>
          </w:p>
        </w:tc>
        <w:tc>
          <w:tcPr>
            <w:tcW w:type="dxa" w:w="4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按基础信息、转诊、检查检验、病历和报告等业务逐批接入。</w:t>
            </w:r>
          </w:p>
        </w:tc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每批接口独立测试、试运行和验收。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第六阶段：正式运行</w:t>
            </w:r>
          </w:p>
        </w:tc>
        <w:tc>
          <w:tcPr>
            <w:tcW w:type="dxa" w:w="4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扩大机构范围，完善监控、备份、运维和值守制度。</w:t>
            </w:r>
          </w:p>
        </w:tc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达到约定运行指标并完成故障恢复演练。</w:t>
            </w:r>
          </w:p>
        </w:tc>
      </w:tr>
    </w:tbl>
    <w:p>
      <w:pPr>
        <w:pStyle w:val="Heading2"/>
        <w:keepNext/>
        <w:keepLines/>
        <w:spacing w:after="120" w:before="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（一）验收重点</w:t>
      </w:r>
    </w:p>
    <w:p>
      <w:pPr>
        <w:pStyle w:val="ListParagraph"/>
        <w:numPr>
          <w:ilvl w:val="0"/>
          <w:numId w:val="2"/>
        </w:numPr>
        <w:spacing w:after="85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业务流程：基层发起、县医院处理、状态反馈和结果返回形成完整闭环。</w:t>
      </w:r>
    </w:p>
    <w:p>
      <w:pPr>
        <w:pStyle w:val="ListParagraph"/>
        <w:numPr>
          <w:ilvl w:val="0"/>
          <w:numId w:val="2"/>
        </w:numPr>
        <w:spacing w:after="85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数据一致：双方关键患者信息、业务单号、申请内容和结果抽样一致。</w:t>
      </w:r>
    </w:p>
    <w:p>
      <w:pPr>
        <w:pStyle w:val="ListParagraph"/>
        <w:numPr>
          <w:ilvl w:val="0"/>
          <w:numId w:val="2"/>
        </w:numPr>
        <w:spacing w:after="85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异常恢复：重复请求、断网、超时、目标系统不可用和服务重启后能够正确恢复。</w:t>
      </w:r>
    </w:p>
    <w:p>
      <w:pPr>
        <w:pStyle w:val="ListParagraph"/>
        <w:numPr>
          <w:ilvl w:val="0"/>
          <w:numId w:val="2"/>
        </w:numPr>
        <w:spacing w:after="85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安全权限：不同机构和不同角色不能查看或操作未经授权的数据。</w:t>
      </w:r>
    </w:p>
    <w:p>
      <w:pPr>
        <w:pStyle w:val="ListParagraph"/>
        <w:numPr>
          <w:ilvl w:val="0"/>
          <w:numId w:val="2"/>
        </w:numPr>
        <w:spacing w:after="85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运行管理：每笔业务可查询、失败可定位、处理有记录、数据可对账。</w:t>
      </w:r>
    </w:p>
    <w:p>
      <w:pPr>
        <w:pStyle w:val="ListParagraph"/>
        <w:numPr>
          <w:ilvl w:val="0"/>
          <w:numId w:val="2"/>
        </w:numPr>
        <w:spacing w:after="85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私有化交付：安装包、源代码或约定制品、数据库脚本、配置说明、部署手册、运维手册和测试报告齐全。</w:t>
      </w:r>
    </w:p>
    <w:p>
      <w:pPr>
        <w:pStyle w:val="Heading1"/>
        <w:keepNext/>
        <w:keepLines/>
        <w:spacing w:after="120" w:before="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八、需要共同明确的事项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500"/>
        <w:gridCol w:w="3100"/>
      </w:tblGrid>
      <w:tr>
        <w:trPr>
          <w:cantSplit/>
          <w:tblHeader/>
        </w:trPr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需要明确</w:t>
            </w:r>
          </w:p>
        </w:tc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主要责任方</w:t>
            </w:r>
          </w:p>
        </w:tc>
        <w:tc>
          <w:tcPr>
            <w:tcW w:type="dxa" w:w="3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7365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未明确时的处理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首批基层卫生院、首个业务场景和首批接口范围</w:t>
            </w:r>
          </w:p>
        </w:tc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县人民医院、基层卫生院</w:t>
            </w:r>
          </w:p>
        </w:tc>
        <w:tc>
          <w:tcPr>
            <w:tcW w:type="dxa" w:w="3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暂不进入对应业务开发。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正式接口地址、调用方式、字段、成功结果、错误说明和脱敏样例</w:t>
            </w:r>
          </w:p>
        </w:tc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各业务系统厂商</w:t>
            </w:r>
          </w:p>
        </w:tc>
        <w:tc>
          <w:tcPr>
            <w:tcW w:type="dxa" w:w="3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只进行平台基础建设，不猜测接口实现。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测试和生产网络、专网或访问来源限制、证书及访问凭证</w:t>
            </w:r>
          </w:p>
        </w:tc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医院信息科、网络安全方</w:t>
            </w:r>
          </w:p>
        </w:tc>
        <w:tc>
          <w:tcPr>
            <w:tcW w:type="dxa" w:w="3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暂不开展在线联调。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县医院 HIS 数据通过服务接口还是受控只读视图提供</w:t>
            </w:r>
          </w:p>
        </w:tc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医院信息科、HIS 厂商</w:t>
            </w:r>
          </w:p>
        </w:tc>
        <w:tc>
          <w:tcPr>
            <w:tcW w:type="dxa" w:w="3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暂不确定具体数据读取方式。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现网 SQL Server 版本、可用服务器资源、备份和恢复能力</w:t>
            </w:r>
          </w:p>
        </w:tc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医院数据库管理员、运维人员</w:t>
            </w:r>
          </w:p>
        </w:tc>
        <w:tc>
          <w:tcPr>
            <w:tcW w:type="dxa" w:w="3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部署规模和恢复目标待定。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嵌入的业务系统、浏览器环境、登录方式和需要展示的内容</w:t>
            </w:r>
          </w:p>
        </w:tc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HIS 厂商、基层代表</w:t>
            </w:r>
          </w:p>
        </w:tc>
        <w:tc>
          <w:tcPr>
            <w:tcW w:type="dxa" w:w="3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F3F6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先保留独立页面，不承诺具体嵌入方式。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机构数量、终端数量、业务高峰、每日交换量和大报文规模</w:t>
            </w:r>
          </w:p>
        </w:tc>
        <w:tc>
          <w:tcPr>
            <w:tcW w:type="dxa" w:w="2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双方业务部门、信息科</w:t>
            </w:r>
          </w:p>
        </w:tc>
        <w:tc>
          <w:tcPr>
            <w:tcW w:type="dxa" w:w="31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先按基础规模设计，上线前必须完成容量测试。</w:t>
            </w:r>
          </w:p>
        </w:tc>
      </w:tr>
    </w:tbl>
    <w:p>
      <w:pPr>
        <w:pStyle w:val="Heading2"/>
        <w:keepNext/>
        <w:keepLines/>
        <w:spacing w:after="120" w:before="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评审建议</w:t>
      </w:r>
    </w:p>
    <w:p>
      <w:pPr>
        <w:keepNext w:val="false"/>
        <w:keepLines w:val="false"/>
        <w:spacing w:after="120" w:before="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议先确定首个业务闭环和正式接口条件，同时开展中间接口平台基础建设。首个闭环应优先选择调用量可控、不涉及资金、上下游责任清晰且已有正式数据样例的场景。完成业务、数据、异常和运维验证后，再按业务域扩展到其他接口。</w:t>
      </w:r>
    </w:p>
    <w:p>
      <w:pPr>
        <w:keepNext w:val="false"/>
        <w:keepLines w:val="false"/>
        <w:spacing w:after="120" w:before="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后续如需增加消息队列、缓存或大文件存储，应根据实际机构数量、业务量、处理积压和报文大小决定，不在首期默认增加系统复杂度。任何扩大数据用途或跨机构共享范围的需求，都需要重新进行业务和安全确认。</w:t>
      </w:r>
    </w:p>
    <w:sectPr>
      <w:footerReference w:type="default" r:id="rId7"/>
      <w:pgSz w:w="11906" w:h="16838" w:orient="portrait"/>
      <w:pgMar w:top="1050" w:right="1050" w:bottom="1050" w:left="1050" w:header="42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县人民医院与基层卫生院中间接口平台技术方案（对外交流版）  | 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20" w:hanging="220"/>
      </w:pPr>
      <w:rPr>
        <w:rFonts w:ascii="Microsoft YaHei" w:cs="Microsoft YaHei" w:eastAsia="Microsoft YaHei" w:hAnsi="Microsoft YaHei"/>
        <w:color w:val="1F4E7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22222"/>
        <w:sz w:val="21"/>
        <w:szCs w:val="21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50" w:before="260"/>
      <w:outlineLvl w:val="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190"/>
      <w:outlineLvl w:val="1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县人民医院与基层卫生院中间接口平台技术方案</dc:title>
  <dc:creator>Codex</dc:creator>
  <dc:description>对外交流版私有化部署中间接口平台技术方案</dc:description>
  <cp:lastModifiedBy>Un-named</cp:lastModifiedBy>
  <cp:revision>1</cp:revision>
  <dcterms:created xsi:type="dcterms:W3CDTF">2026-09-10T08:56:31.174Z</dcterms:created>
  <dcterms:modified xsi:type="dcterms:W3CDTF">2026-09-10T08:56:31.175Z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