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35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38"/>
          <w:szCs w:val="38"/>
        </w:rPr>
        <w:t xml:space="preserve">县人民医院与基层卫生院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46"/>
          <w:szCs w:val="46"/>
        </w:rPr>
        <w:t xml:space="preserve">中间接口平台项目立项书</w:t>
      </w:r>
    </w:p>
    <w:p>
      <w:pPr>
        <w:spacing w:after="75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院内私有化部署 · 两个月完整交付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文档属性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V0.2（立项评审稿）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编制日期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2026年9月10日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建设周期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2个月（完整交付）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建设方式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院内私有化部署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核心人员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5人：县人民医院HIS改造2人、中间接口平台2人、项目对接与协调1人</w:t>
            </w:r>
          </w:p>
        </w:tc>
      </w:tr>
    </w:tbl>
    <w:p>
      <w:pPr>
        <w:keepNext w:val="false"/>
        <w:keepLines w:val="false"/>
        <w:spacing w:after="105" w:before="300" w:line="315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18"/>
          <w:szCs w:val="18"/>
        </w:rPr>
        <w:t xml:space="preserve">用于项目立项评审、范围确认、资源安排和实施决策。</w:t>
      </w:r>
    </w:p>
    <w:p>
      <w:r>
        <w:br w:type="page"/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一、项目概况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项目定位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建设一套部署在县人民医院指定环境内的中间接口平台，作为县人民医院与所辖基层卫生院之间的信息化连接枢纽，统一承接双方业务系统的数据交换、状态反馈、异常处理和运行管理。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本项目的业务协同主体只有县人民医院与所辖基层卫生院。平台只提供信息连接和运行保障，不增加新的业务层级，不替代双方进行诊疗、审核、收费、转诊决定或公共卫生管理。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建设背景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双方已分别建设HIS、电子病历、检查检验等业务系统，但系统来源、接口形式和数据口径不同，仍存在对接入口分散、重复录入、信息错配、进度不可见、结果返回不及时、异常难处理和责任难定位等问题。由医院统一建设中间接口平台，可减少各厂商重复对接，形成统一入口、统一规则、统一记录和统一验收方式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周期与交付口径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项目建设周期为2个月，按8周组织实施。两个月为完整交付周期，包括平台建设、私有化部署、管理端和嵌入页面、立项范围内接口开发与联调、业务闭环验证、试运行、培训、文档移交和项目终验。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现有75项业务能力作为总体范围基线。接口是否启用及最终上线范围在项目启动阶段确认；尚不明确的接口全部列为P0事项，在项目早期集中解决，不得自然顺延到两个月以后。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编制依据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依据材料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主要用途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《县人民医院与基层卫生院信息化协同对接方案》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项目需求、双方定位、协同范围和业务流程基线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《县人民医院与基层卫生院中间接口平台技术方案》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平台能力、私有化部署、技术方向和验收基线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《县级人民医院_基层和健康V1.0接口矩阵》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75项业务能力、调用方向、依赖、风险和验收要点盘点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《新版基层HIS 与云平台V1.0接口文档》及原始PDF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接口范围、接入流程、通信方式和安全要求依据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《接口列表》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医院初步优先级、实现意见和改造需求输入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上述材料不能替代正式接入批准。接口规范存在的统计和表述差异，应在项目中作为P0事项取得书面结论。</w:t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二、项目需求与建设目标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项目需求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项目不是简单地“把两个系统连起来”，而是要让县人民医院与所辖基层卫生院形成可管理、可追踪、可验收的双向业务协作关系。相关平台和信息系统为双方协同提供技术支撑，但不增加新的业务层级。对接工作的核心，是明确双方哪些业务要协同、各自提供和使用什么信息、由谁负责、何时完成、出现问题如何处理，以及什么证据能够证明真正可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管理结论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建设方式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由医院统一组织对接，各业务系统通过院内统一对接能力交换信息，避免各厂商各自建设、重复投入和责任不清。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范围口径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现有材料形成75项业务能力盘点，但这只是规划清单，不等于75项全部立刻建设，也不等于平台主管部门已全部批准。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推进顺序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先完成审批、责任、环境和基础信息准备，再推进健康档案、体检、检查检验报告等核心业务，随后分阶段扩展。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验收原则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以真实业务闭环和可复核记录为准，不以口头确认、页面能打开或单次调用成功作为完成依据。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上线原则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按业务领域分批试运行；任何患者错配、越权访问或无法确认的错误写入，都应立即停止相关写入。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“不等于75项全部立刻建设”是指按依赖和业务领域分批推进，不要求同时上线，不改变两个月内完整交付的要求。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项目建设要求如下：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确认首期建设范围：建议先做基础准备、健康档案与体检、检查检验与心电报告闭环。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确认项目牵头人、各业务领域负责人、厂商负责人和最终验收人。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确认平台主管部门负责提供正式接入文件、测试环境、账号授权及现有规范争议的书面结论。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确认电子病历回写是否纳入必做范围；现有清单写“不做”，但接口规范要求形成闭环。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确认生产上线采用分批试运行，并预留停止写入和恢复原流程的窗口。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建设目标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当前问题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建设目标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预期成效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系统多、厂商多，问题发生后难判断责任归属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统一入口、统一台账、统一问题编号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问题能够定位到业务、系统、责任人和处理阶段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健康档案、体检和报告信息存在重复录入或回传不及时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业务完成后按规则自动交换并核对结果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减少重复操作，及时发现漏传、错传和重复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机构、人员、科室、诊断等基础信息口径不一致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建立统一映射并明确维护责任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降低人员、机构和患者匹配错误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部分业务依赖多个系统，单个接口成功仍无法完成全流程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按患者实际就医场景进行端到端验收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以挂号、就诊、报告、病历、转诊等完整结果判断成败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发生异常时缺少补救、对账和追踪手段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保留状态记录，支持核对、补偿和人工处理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避免重复收费、重复写入或长期积压无人处理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三、建设范围与接口计划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双向协同范围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协同方向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主要交换内容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业务目的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基层卫生院到县人民医院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患者基本信息、基层诊疗摘要、转诊、检查检验、会诊申请及必要健康档案信息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让县医院提前了解患者情况并及时受理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县人民医院到基层卫生院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受理状态、预约或接诊安排、检查检验报告、诊疗建议、出院或转诊反馈、会诊结论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让基层及时掌握处理进度和结果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双方共同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统一机构、人员、科室、患者身份、目录、业务状态、问题编号和验收口径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保证业务对象正确匹配、过程和结果共同核对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居民和患者是双方共同服务对象，不是第三个协同主体。本期不建设基层卫生院之间的横向数据共享，不允许任何系统绕过统一入口直接访问另一方业务数据库。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主要建设内容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中间接口平台后台服务、管理端及必要的独立或嵌入页面。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县医院HIS、电子病历、LIS、PACS与基层相关系统接口接入和转换。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机构、人员、科室、患者和业务编码对应关系管理。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数据接收、发送、防止重复、失败后再次处理、人工处置和数据对账。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机构、接口、权限、交换记录、问题、告警和统计管理。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私有化部署、SQL Server数据库、备份恢复、日志审计和安全防护。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接口文档、数据库脚本、部署运维手册、测试报告和验收材料。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平台不替代原业务系统，不建设新的完整病历数据库，只保存接口运行所需的必要记录和结果。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接口范围与P0处理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现有接口矩阵共75项业务能力，其中健康档案云平台相关能力21项、基层侧相关能力54项，覆盖基础信息、健康档案、老年人健康、慢病、家庭医生、便民服务、双向转诊、电子病历、PACS、LIS、心电、分诊叫号、远程会诊和报告调阅等领域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接口通知正文为“15类73个接口”，与75项业务能力矩阵存在交易码复用、补充能力和统计方式差异。截至当前材料，75项均为“未开始”，且存在待确认或前置条件，不代表已获接入批准或已完成真实联调。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处理范围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完成要求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接口数量、编号、地址、字段、成功结果、调用方向、业务是否启用、正式资料、环境和权限等不确定事项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第1至2周逐项取得书面结论，明确责任人和截止时间，不得自然顺延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审批、机构人员、科室目录、患者匹配、权限、安全、环境和平台共同基础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第1至3周完成，为全部接口提供基础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立项范围内各业务接口开发、厂商改造、联调和业务闭环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第3至7周按业务领域并行完成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P3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全量回归、安全性能检查、试运行、资料移交和终验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第7至8周完成完整交付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每项接口进入联调前必须具备正式接口文件、测试环境、访问凭证、脱敏样例、调用规则、责任人和验收场景。</w:t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四、总体建设方案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平台结构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基层卫生院业务系统 ⇄ 中间接口平台 ⇄ 县人民医院HIS、电子病历、LIS、PACS等系统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平台统一完成身份验证、数据检查、格式转换、防止重复、故障处理、过程记录和运行管理。双方原有系统继续负责业务办理和数据维护。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技术与部署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建议选择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后台服务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 21、Spring Boot 3.5、MyBatis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建设一套后台应用，后续具备条件时独立升级Spring Boot 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Microsoft SQL Server 2019/2022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以医院现网支持版本为准，建立独立平台数据库和账号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管理页面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Vue 3、TypeScript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管理机构、接口、运行记录、异常和配置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嵌入页面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网页组件或嵌入页面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根据HIS和基层工作站浏览器环境确定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后台、数据库、管理页面和日志全部部署在医院本地机房或私有云。测试、联调和生产环境分开；除正式接口要求外，不向外部厂商同步患者数据、日志或备份；外部厂商远程访问须经医院审批并留痕。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平台可复用HIS所在SQL Server服务器，但必须使用独立数据库、账号、备份和维护计划，不在HIS业务库中建立平台表。读取HIS数据优先采用厂商正式服务；确需只读视图时，由医院和HIS厂商共同确认。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安全与运行保障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按人员、机构和职责授权，基层卫生院只能访问本机构获准数据。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账号、密钥、验证码等由平台统一保管，不存放在客户端或普通日志中。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优先使用医疗专网；互联网访问须审批并采用HTTPS和固定来源限制。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仅交换业务必需数据，敏感信息按权限隐藏，查询、导出和配置变更可追溯。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接口失败、凭证失效、待处理积压、数据不一致和异常访问及时告警。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数据库、配置和必要文件按医院制度备份，并定期验证恢复能力。</w:t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五、人员安排与职责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核心团队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项目核心实施团队按5人配置：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600"/>
      </w:tblGrid>
      <w:tr>
        <w:trPr>
          <w:cantSplit/>
          <w:tblHeader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工作组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主要交付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县人民医院HIS改造组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2人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主要负责核心业务、HIS数据提供、接口和页面改造、结果展示及联调处理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HIS改造、数据服务或受控视图、业务入口、结果回写和测试记录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中间接口平台组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2人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负责平台后台、管理端、嵌入页面、接口转换、异常处理、对账、部署和文档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平台系统、约定接口接入、部署制品、数据库脚本和技术资料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项目对接与协调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1人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负责范围、P0问题、跨方协调、计划、会议、材料、培训和验收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项目计划、P0清单、问题台账、周报、培训和验收材料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合计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5人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按业务领域并行推进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两个月内完成建设、联调、试运行和验收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HIS组和平台组各自明确主责与备份，核心人员在两个月内保持稳定。项目对接人员不替代开发人员。基层卫生院、电子病历、LIS、PACS、网络安全和接口提供方仍需各自指定配合联系人，不计入核心5人。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协同职责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参与方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医院项目负责人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决定目标、范围、资源和重大事项，组织验收和上线决策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医院信息科及业务科室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牵头协调，确认流程、数据口径、样例、权限和验收结果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医院安全与运维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落实网络、安全、账号、监控、备份和值守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基层卫生院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确认实际需求、使用入口和人员权限，参与联调及验收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HIS及相关系统厂商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提供正式资料，完成系统改造，配合联调和问题修复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平台主管或接口提供方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提供接入授权、正式资料、测试条件和争议书面结论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每项任务只设置一个执行责任方和一个验收责任方。没有负责人、完成时间和验收证据的任务，不计入完成范围。</w:t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六、两个月实施计划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600"/>
      </w:tblGrid>
      <w:tr>
        <w:trPr>
          <w:cantSplit/>
          <w:tblHeader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主要工作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主责安排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主要输出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第1周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冻结75项范围，将全部不确定接口列为P0，明确责任人和完成时间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项目对接牵头，5人共同确认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范围基线、P0清单、责任表、计划和升级路径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第2周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关闭P0疑问，完成接入、资料、网络、账号、样例和基础信息准备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项目对接协调，HIS组和平台组验证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书面结论、环境记录、样例和编码对应清单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第2至3周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完成平台、数据库、权限、管理端框架和私有化测试环境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平台组主责，HIS组准备数据和入口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可运行的平台基础版本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第3至6周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并行完成全部约定接口开发、厂商改造和联调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HIS组负责核心业务，平台组负责平台与接口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接口完成清单、测试记录和问题关闭记录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第6至7周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完成业务闭环、全量回归、异常恢复、数据核对及安全性能测试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5人团队共同执行，业务和厂商参与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业务闭环、测试和安全检查报告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第7周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完成试运行、监控、备份、恢复和值守验证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项目对接组织，HIS组和平台组值守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试运行和恢复演练记录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第8周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完成上线、问题关闭、培训、资料移交和终验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项目对接组织，两个开发组交付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上线记录、验收报告和完整交付清单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个月完整交付要求5名核心人员按时到位、范围第1周冻结、正式资料和环境第2周具备、各厂商并行配合、P0问题每日跟踪并及时升级。P0事项未按期关闭时，由项目负责人协调处理；未经正式范围变更，不得自行移出本期，也不得降低安全或验收标准。</w:t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七、投入、效益与风险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投入原则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项目预算根据完整接口范围和实际改造量另行测算，主要包括平台软件、HIS及相关系统改造、服务器和SQL Server资源、网络安全、实施联调、培训验收及运维保障。不能仅按75项数量简单平均估算工作量。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预期效益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县人民医院统一受理和管理基层协同事项，提前获得必要信息并及时反馈结果。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基层卫生院在原有工作入口发起业务、查看进度并获得报告或诊疗反馈。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减少患者重复提供资料、重复检查和不必要往返，提高县域资源使用效率。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从多厂商分散对接转为统一管理，每笔交换可查询、问题可定位、结果可核对。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系统和数据在医院指定环境中私有化部署，权限、凭证和操作记录集中管理。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主要风险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两个月完整交付压力较大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固定5人核心团队，按业务领域并行开发，实行周计划和P0日跟踪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通知73个接口与矩阵75项口径不一致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列为P0，由平台主管部门和厂商第2周前提供书面结论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正式接入、环境或凭证未准备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列为P0，第1至2周集中关闭并由项目负责人升级协调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多厂商配合延迟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明确责任人、完成时间和问题升级路径，相关厂商指定固定联系人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基础信息不一致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先完成机构、人员、科室和患者对应关系及脱敏抽样核对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写入结果不明确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先查询和对账，禁止直接重复写入或重复收费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平台影响HIS运行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独立数据库和账号，限制连接和批量任务，完成性能测试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敏感数据泄露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私有化部署、最小权限、传输保护、信息隐藏和操作审计</w:t>
            </w:r>
          </w:p>
        </w:tc>
      </w:tr>
    </w:tbl>
    <w:p>
      <w:pPr>
        <w:keepNext w:val="false"/>
        <w:keepLines w:val="false"/>
        <w:spacing w:after="55" w:before="0" w:line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八、验收与立项建议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验收标准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平台已在医院指定环境完成私有化部署。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立项范围内接口和完整业务闭环全部完成，状态及结果能够双向反馈。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双方关键患者、机构、业务单号、申请内容和结果抽样一致。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重复请求、断网、超时、目标系统不可用和服务重启均有明确处理结果。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不同机构和角色不能访问未授权数据；每笔业务可查询、失败可定位、数据可对账。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安装包或约定制品、数据库脚本、配置、接口、部署运维和测试文档齐全。</w:t>
      </w:r>
    </w:p>
    <w:p>
      <w:pPr>
        <w:pStyle w:val="ListParagraph"/>
        <w:numPr>
          <w:ilvl w:val="0"/>
          <w:numId w:val="2"/>
        </w:numPr>
        <w:spacing w:after="65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业务科室、信息科、安全运维和项目负责人完成书面确认。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存在患者错配、越权访问、敏感信息暴露、写入结果无法确认、问题不可追踪、恢复方案未验证，或正式接入及生产安全条件未满足时，不得通过上线验收。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立项审批建议</w:t>
      </w:r>
    </w:p>
    <w:p>
      <w:pPr>
        <w:keepNext w:val="false"/>
        <w:keepLines w:val="false"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建议批准：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建设县人民医院与基层卫生院中间接口平台，并采用院内私有化部署。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建设周期为2个月，完成立项范围内全部建设、联调、试运行、移交和终验。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核心团队按5人配置：县人民医院HIS改造2人、中间接口平台2人、项目对接与协调1人。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第1周冻结完整范围和验收标准，全部不确定接口列为P0并明确关闭期限。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同步启动正式接入申请、网络安全评审、环境、凭证及相关厂商配合安排。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按完整范围、厂商改造量、并行人员和基础设施复用情况形成专项预算。</w:t>
      </w:r>
    </w:p>
    <w:p>
      <w:pPr>
        <w:pStyle w:val="Heading2"/>
        <w:keepNext/>
        <w:keepLines/>
        <w:spacing w:after="105" w:before="0" w:line="31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立项时需确认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项目负责人和最终验收负责人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5名核心人员名单、分工和到位时间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所辖基层卫生院完整名单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75项业务能力的最终建设及启用范围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P0接口清单、责任人和关闭期限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电子病历回写是否纳入本期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正式接入申请、测试和生产环境计划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HIS数据提供方式及各厂商配合人员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SQL Server、服务器、备份恢复和安全条件</w:t>
      </w:r>
    </w:p>
    <w:p>
      <w:pPr>
        <w:spacing w:after="65" w:line="300"/>
        <w:ind w:lef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□ 项目预算及资金来源</w:t>
      </w:r>
    </w:p>
    <w:sectPr>
      <w:footerReference w:type="default" r:id="rId7"/>
      <w:pgSz w:w="11906" w:h="16838" w:orient="portrait"/>
      <w:pgMar w:top="1000" w:right="1000" w:bottom="1000" w:left="1000" w:header="42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县人民医院与基层卫生院中间接口平台项目立项书  |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20"/>
      </w:pPr>
      <w:rPr>
        <w:rFonts w:ascii="Microsoft YaHei" w:cs="Microsoft YaHei" w:eastAsia="Microsoft YaHei" w:hAnsi="Microsoft YaHei"/>
        <w:color w:val="1F4E7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  <w:rPr>
        <w:rFonts w:ascii="Microsoft YaHei" w:cs="Microsoft YaHei" w:eastAsia="Microsoft YaHei" w:hAnsi="Microsoft Ya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20"/>
        <w:szCs w:val="20"/>
      </w:rPr>
    </w:rPrDefault>
    <w:pPrDefault>
      <w:pPr>
        <w:spacing w:line="31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230"/>
      <w:outlineLvl w:val="0"/>
    </w:pPr>
    <w:rPr>
      <w:rFonts w:ascii="Microsoft YaHei" w:cs="Microsoft YaHei" w:eastAsia="Microsoft YaHei" w:hAnsi="Microsoft YaHei"/>
      <w:b/>
      <w:bCs/>
      <w:color w:val="17365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5" w:before="165"/>
      <w:outlineLvl w:val="1"/>
    </w:pPr>
    <w:rPr>
      <w:rFonts w:ascii="Microsoft YaHei" w:cs="Microsoft YaHei" w:eastAsia="Microsoft YaHei" w:hAnsi="Microsoft YaHei"/>
      <w:b/>
      <w:bCs/>
      <w:color w:val="1F4E78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县人民医院与基层卫生院中间接口平台项目立项书</dc:title>
  <dc:creator>Codex</dc:creator>
  <dc:description>县人民医院与所辖基层卫生院中间接口平台立项评审文件</dc:description>
  <cp:lastModifiedBy>Un-named</cp:lastModifiedBy>
  <cp:revision>1</cp:revision>
  <dcterms:created xsi:type="dcterms:W3CDTF">2026-09-10T09:42:08.594Z</dcterms:created>
  <dcterms:modified xsi:type="dcterms:W3CDTF">2026-09-10T09:42:08.595Z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