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" w:before="1550"/>
        <w:jc w:val="center"/>
      </w:pPr>
      <w:r>
        <w:rPr>
          <w:rFonts w:ascii="Microsoft YaHei" w:cs="Microsoft YaHei" w:eastAsia="Microsoft YaHei" w:hAnsi="Microsoft YaHei"/>
          <w:b/>
          <w:bCs/>
          <w:color w:val="1F4E78"/>
          <w:sz w:val="38"/>
          <w:szCs w:val="38"/>
        </w:rPr>
        <w:t xml:space="preserve">县级人民医院</w:t>
      </w:r>
    </w:p>
    <w:p>
      <w:pPr>
        <w:spacing w:after="240"/>
        <w:jc w:val="center"/>
      </w:pPr>
      <w:r>
        <w:rPr>
          <w:rFonts w:ascii="Microsoft YaHei" w:cs="Microsoft YaHei" w:eastAsia="Microsoft YaHei" w:hAnsi="Microsoft YaHei"/>
          <w:b/>
          <w:bCs/>
          <w:color w:val="1F4E78"/>
          <w:sz w:val="42"/>
          <w:szCs w:val="42"/>
        </w:rPr>
        <w:t xml:space="preserve">与基层卫生院信息化协同对接方案</w:t>
      </w:r>
    </w:p>
    <w:p>
      <w:pPr>
        <w:spacing w:after="820"/>
        <w:jc w:val="center"/>
      </w:pPr>
      <w:r>
        <w:rPr>
          <w:rFonts w:ascii="Microsoft YaHei" w:cs="Microsoft YaHei" w:eastAsia="Microsoft YaHei" w:hAnsi="Microsoft YaHei"/>
          <w:sz w:val="23"/>
          <w:szCs w:val="23"/>
        </w:rPr>
        <w:t xml:space="preserve">面向院领导、职能部门、业务科室及合作单位的沟通与决策稿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rPr>
          <w:cantSplit/>
          <w:tblHeader/>
        </w:trPr>
        <w:tc>
          <w:tcPr>
            <w:tcW w:type="dxa" w:w="2200"/>
            <w:shd w:fill="1F4E78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文档属性</w:t>
            </w:r>
          </w:p>
        </w:tc>
        <w:tc>
          <w:tcPr>
            <w:tcW w:type="dxa" w:w="7000"/>
            <w:shd w:fill="1F4E78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版本</w:t>
            </w:r>
          </w:p>
        </w:tc>
        <w:tc>
          <w:tcPr>
            <w:tcW w:type="dxa" w:w="7000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V1.2（评审稿）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编制日期</w:t>
            </w:r>
          </w:p>
        </w:tc>
        <w:tc>
          <w:tcPr>
            <w:tcW w:type="dxa" w:w="7000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2026年9月10日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阅读对象</w:t>
            </w:r>
          </w:p>
        </w:tc>
        <w:tc>
          <w:tcPr>
            <w:tcW w:type="dxa" w:w="7000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院领导、医院信息科、业务科室、网络安全与运维人员、相关厂商及平台主管部门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配套材料</w:t>
            </w:r>
          </w:p>
        </w:tc>
        <w:tc>
          <w:tcPr>
            <w:tcW w:type="dxa" w:w="7000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技术对接总体方案、接口矩阵及联调准备清单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使用说明</w:t>
            </w:r>
          </w:p>
        </w:tc>
        <w:tc>
          <w:tcPr>
            <w:tcW w:type="dxa" w:w="7000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用于统一县人民医院与所辖基层卫生院的业务需求、协同范围、责任、节奏和验收口径；不替代接入审批、合同、正式接口文件或上线批准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本次修订</w:t>
            </w:r>
          </w:p>
        </w:tc>
        <w:tc>
          <w:tcPr>
            <w:tcW w:type="dxa" w:w="7000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精简为项目需求、双方协同定位、业务范围和业务协同场景四部分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2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一、项目需求</w:t>
      </w:r>
    </w:p>
    <w:p>
      <w:pPr>
        <w:keepNext w:val="false"/>
        <w:keepLines w:val="false"/>
        <w:spacing w:after="12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项目不是简单地“把两个系统连起来”，而是要让县人民医院与所辖基层卫生院形成可管理、可追踪、可验收的双向业务协作关系。相关平台和信息系统为双方协同提供技术支撑，但不增加新的业务层级。对接工作的核心，是明确双方哪些业务要协同、各自提供和使用什么信息、由谁负责、何时完成、出现问题如何处理，以及什么证据能够证明真正可用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100"/>
      </w:tblGrid>
      <w:tr>
        <w:trPr>
          <w:cantSplit/>
          <w:tblHeader/>
        </w:trPr>
        <w:tc>
          <w:tcPr>
            <w:tcW w:type="dxa" w:w="2100"/>
            <w:shd w:fill="1F4E78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管理结论</w:t>
            </w:r>
          </w:p>
        </w:tc>
        <w:tc>
          <w:tcPr>
            <w:tcW w:type="dxa" w:w="7100"/>
            <w:shd w:fill="1F4E78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建议</w:t>
            </w:r>
          </w:p>
        </w:tc>
      </w:tr>
      <w:tr>
        <w:trPr>
          <w:cantSplit/>
        </w:trPr>
        <w:tc>
          <w:tcPr>
            <w:tcW w:type="dxa" w:w="2100"/>
            <w:shd w:fill="E2F0D9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建设方式</w:t>
            </w:r>
          </w:p>
        </w:tc>
        <w:tc>
          <w:tcPr>
            <w:tcW w:type="dxa" w:w="7100"/>
            <w:shd w:fill="E2F0D9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由医院统一组织对接，各业务系统通过院内统一对接能力交换信息，避免各厂商各自建设、重复投入和责任不清。</w:t>
            </w:r>
          </w:p>
        </w:tc>
      </w:tr>
      <w:tr>
        <w:trPr>
          <w:cantSplit/>
        </w:trPr>
        <w:tc>
          <w:tcPr>
            <w:tcW w:type="dxa" w:w="2100"/>
            <w:shd w:fill="D9EAF7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范围口径</w:t>
            </w:r>
          </w:p>
        </w:tc>
        <w:tc>
          <w:tcPr>
            <w:tcW w:type="dxa" w:w="7100"/>
            <w:shd w:fill="D9EAF7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现有材料形成75项业务能力盘点，但这只是规划清单，不等于75项全部立刻建设，也不等于平台主管部门已全部批准。</w:t>
            </w:r>
          </w:p>
        </w:tc>
      </w:tr>
      <w:tr>
        <w:trPr>
          <w:cantSplit/>
        </w:trPr>
        <w:tc>
          <w:tcPr>
            <w:tcW w:type="dxa" w:w="2100"/>
            <w:shd w:fill="D9EAF7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推进顺序</w:t>
            </w:r>
          </w:p>
        </w:tc>
        <w:tc>
          <w:tcPr>
            <w:tcW w:type="dxa" w:w="7100"/>
            <w:shd w:fill="D9EAF7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先完成审批、责任、环境和基础信息准备，再推进健康档案、体检、检查检验报告等核心业务，随后分阶段扩展。</w:t>
            </w:r>
          </w:p>
        </w:tc>
      </w:tr>
      <w:tr>
        <w:trPr>
          <w:cantSplit/>
        </w:trPr>
        <w:tc>
          <w:tcPr>
            <w:tcW w:type="dxa" w:w="2100"/>
            <w:shd w:fill="FFF2CC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验收原则</w:t>
            </w:r>
          </w:p>
        </w:tc>
        <w:tc>
          <w:tcPr>
            <w:tcW w:type="dxa" w:w="7100"/>
            <w:shd w:fill="FFF2CC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以真实业务闭环和可复核记录为准，不以口头确认、页面能打开或单次调用成功作为完成依据。</w:t>
            </w:r>
          </w:p>
        </w:tc>
      </w:tr>
      <w:tr>
        <w:trPr>
          <w:cantSplit/>
        </w:trPr>
        <w:tc>
          <w:tcPr>
            <w:tcW w:type="dxa" w:w="2100"/>
            <w:shd w:fill="FCE4D6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上线原则</w:t>
            </w:r>
          </w:p>
        </w:tc>
        <w:tc>
          <w:tcPr>
            <w:tcW w:type="dxa" w:w="7100"/>
            <w:shd w:fill="FCE4D6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按业务领域分批试运行；任何患者错配、越权访问或无法确认的错误写入，都应立即停止相关写入。</w:t>
            </w:r>
          </w:p>
        </w:tc>
      </w:tr>
    </w:tbl>
    <w:p>
      <w:pPr>
        <w:pStyle w:val="Heading2"/>
        <w:keepNext/>
        <w:keepLines/>
        <w:spacing w:after="12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1.1 项目建设要求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确认首期建设范围：建议先做基础准备、健康档案与体检、检查检验与心电报告闭环。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确认项目牵头人、各业务领域负责人、厂商负责人和最终验收人。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确认平台主管部门负责提供正式接入文件、测试环境、账号授权及现有规范争议的书面结论。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确认电子病历回写是否纳入必做范围；现有清单写“不做”，但接口规范要求形成闭环。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确认生产上线采用分批试运行，并预留停止写入和恢复原流程的窗口。</w:t>
      </w:r>
    </w:p>
    <w:p>
      <w:pPr>
        <w:pStyle w:val="Heading2"/>
        <w:keepNext/>
        <w:keepLines/>
        <w:spacing w:after="12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1.2 主要问题与预期成效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600"/>
        <w:gridCol w:w="2900"/>
      </w:tblGrid>
      <w:tr>
        <w:trPr>
          <w:cantSplit/>
          <w:tblHeader/>
        </w:trPr>
        <w:tc>
          <w:tcPr>
            <w:tcW w:type="dxa" w:w="2700"/>
            <w:shd w:fill="1F4E78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当前痛点</w:t>
            </w:r>
          </w:p>
        </w:tc>
        <w:tc>
          <w:tcPr>
            <w:tcW w:type="dxa" w:w="3600"/>
            <w:shd w:fill="1F4E78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对接后的目标状态</w:t>
            </w:r>
          </w:p>
        </w:tc>
        <w:tc>
          <w:tcPr>
            <w:tcW w:type="dxa" w:w="2900"/>
            <w:shd w:fill="1F4E78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可见成效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系统多、厂商多，问题发生后难判断责任归属</w:t>
            </w:r>
          </w:p>
        </w:tc>
        <w:tc>
          <w:tcPr>
            <w:tcW w:type="dxa" w:w="3600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统一入口、统一台账、统一问题编号</w:t>
            </w:r>
          </w:p>
        </w:tc>
        <w:tc>
          <w:tcPr>
            <w:tcW w:type="dxa" w:w="2900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问题能够定位到业务、系统、责任人和处理阶段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健康档案、体检和报告信息存在重复录入或回传不及时</w:t>
            </w:r>
          </w:p>
        </w:tc>
        <w:tc>
          <w:tcPr>
            <w:tcW w:type="dxa" w:w="3600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业务完成后按规则自动交换并核对结果</w:t>
            </w:r>
          </w:p>
        </w:tc>
        <w:tc>
          <w:tcPr>
            <w:tcW w:type="dxa" w:w="2900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减少重复操作，及时发现漏传、错传和重复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机构、人员、科室、诊断等基础信息口径不一致</w:t>
            </w:r>
          </w:p>
        </w:tc>
        <w:tc>
          <w:tcPr>
            <w:tcW w:type="dxa" w:w="3600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建立统一映射并明确维护责任</w:t>
            </w:r>
          </w:p>
        </w:tc>
        <w:tc>
          <w:tcPr>
            <w:tcW w:type="dxa" w:w="2900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降低人员、机构和患者匹配错误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部分业务依赖多个系统，单个接口成功仍无法完成全流程</w:t>
            </w:r>
          </w:p>
        </w:tc>
        <w:tc>
          <w:tcPr>
            <w:tcW w:type="dxa" w:w="3600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按患者实际就医场景进行端到端验收</w:t>
            </w:r>
          </w:p>
        </w:tc>
        <w:tc>
          <w:tcPr>
            <w:tcW w:type="dxa" w:w="2900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以挂号、就诊、报告、病历、转诊等完整结果判断成败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发生异常时缺少补救、对账和追踪手段</w:t>
            </w:r>
          </w:p>
        </w:tc>
        <w:tc>
          <w:tcPr>
            <w:tcW w:type="dxa" w:w="3600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保留状态记录，支持核对、补偿和人工处理</w:t>
            </w:r>
          </w:p>
        </w:tc>
        <w:tc>
          <w:tcPr>
            <w:tcW w:type="dxa" w:w="2900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避免重复收费、重复写入或长期积压无人处理</w:t>
            </w:r>
          </w:p>
        </w:tc>
      </w:tr>
    </w:tbl>
    <w:p>
      <w:pPr>
        <w:pStyle w:val="Heading1"/>
        <w:keepNext/>
        <w:keepLines/>
        <w:spacing w:after="12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二、县人民医院与基层卫生院协同定位</w:t>
      </w:r>
    </w:p>
    <w:p>
      <w:pPr>
        <w:keepNext w:val="false"/>
        <w:keepLines w:val="false"/>
        <w:spacing w:after="12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项目的业务协同主体只有两方：县人民医院与其所辖基层卫生院。信息化接口用于支撑双方现有业务协作，不形成其他业务协同层级。相关平台主管部门和系统厂商只提供规则、产品和实施保障，不参与替代双方的业务决策。基层卫生院的具体名单和管理关系以县人民医院确认结果为准。</w:t>
      </w:r>
    </w:p>
    <w:p>
      <w:pPr>
        <w:pStyle w:val="Heading2"/>
        <w:keepNext/>
        <w:keepLines/>
        <w:spacing w:after="12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2.1 双方业务需求与要解决的问题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700"/>
        <w:gridCol w:w="2600"/>
        <w:gridCol w:w="2300"/>
      </w:tblGrid>
      <w:tr>
        <w:trPr>
          <w:cantSplit/>
          <w:tblHeader/>
        </w:trPr>
        <w:tc>
          <w:tcPr>
            <w:tcW w:type="dxa" w:w="1600"/>
            <w:shd w:fill="1F4E78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参与方</w:t>
            </w:r>
          </w:p>
        </w:tc>
        <w:tc>
          <w:tcPr>
            <w:tcW w:type="dxa" w:w="2700"/>
            <w:shd w:fill="1F4E78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主要业务需求</w:t>
            </w:r>
          </w:p>
        </w:tc>
        <w:tc>
          <w:tcPr>
            <w:tcW w:type="dxa" w:w="2600"/>
            <w:shd w:fill="1F4E78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当前主要问题</w:t>
            </w:r>
          </w:p>
        </w:tc>
        <w:tc>
          <w:tcPr>
            <w:tcW w:type="dxa" w:w="2300"/>
            <w:shd w:fill="1F4E78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接口打通后的目标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县人民医院</w:t>
            </w:r>
          </w:p>
        </w:tc>
        <w:tc>
          <w:tcPr>
            <w:tcW w:type="dxa" w:w="2700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统一受理基层转诊、检查检验、会诊等协同事项；向基层反馈受理、诊疗和报告结果；管理所辖机构接入与运行。</w:t>
            </w:r>
          </w:p>
        </w:tc>
        <w:tc>
          <w:tcPr>
            <w:tcW w:type="dxa" w:w="2600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对接入口分散；接诊前资料不足；基层申请格式不一；结果反馈不及时；跨机构问题责任难界定。</w:t>
            </w:r>
          </w:p>
        </w:tc>
        <w:tc>
          <w:tcPr>
            <w:tcW w:type="dxa" w:w="2300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形成面向基层卫生院的统一协同入口，减少重复采集，提高接诊准备、资源利用、结果反馈和问题追踪效率。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所辖基层卫生院</w:t>
            </w:r>
          </w:p>
        </w:tc>
        <w:tc>
          <w:tcPr>
            <w:tcW w:type="dxa" w:w="2700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便捷发起转诊、检查检验或会诊；获得县医院处理结果；在授权范围内查看与当前服务相关的信息。</w:t>
            </w:r>
          </w:p>
        </w:tc>
        <w:tc>
          <w:tcPr>
            <w:tcW w:type="dxa" w:w="2600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重复填写患者资料；转诊后进展不可见；检查报告返回慢；县医院专家和医技资源使用不便；各系统操作割裂。</w:t>
            </w:r>
          </w:p>
        </w:tc>
        <w:tc>
          <w:tcPr>
            <w:tcW w:type="dxa" w:w="2300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基层在原工作入口完成协同，及时获得受理状态和结果，提升基层诊疗能力并减少患者往返。</w:t>
            </w:r>
          </w:p>
        </w:tc>
      </w:tr>
    </w:tbl>
    <w:p>
      <w:pPr>
        <w:keepNext w:val="false"/>
        <w:keepLines w:val="false"/>
        <w:spacing w:after="12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居民和患者是双方协同的共同服务对象，不作为第三个协同主体。预期成效是减少重复检查、重复提供资料和不必要往返，并提高转诊及报告获取效率。</w:t>
      </w:r>
    </w:p>
    <w:p>
      <w:pPr>
        <w:pStyle w:val="Heading2"/>
        <w:keepNext/>
        <w:keepLines/>
        <w:spacing w:after="12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2.2 双向协同关系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300"/>
        <w:gridCol w:w="2200"/>
        <w:gridCol w:w="1800"/>
      </w:tblGrid>
      <w:tr>
        <w:trPr>
          <w:cantSplit/>
          <w:tblHeader/>
        </w:trPr>
        <w:tc>
          <w:tcPr>
            <w:tcW w:type="dxa" w:w="1900"/>
            <w:shd w:fill="1F4E78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协同方向</w:t>
            </w:r>
          </w:p>
        </w:tc>
        <w:tc>
          <w:tcPr>
            <w:tcW w:type="dxa" w:w="3300"/>
            <w:shd w:fill="1F4E78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主要交换内容</w:t>
            </w:r>
          </w:p>
        </w:tc>
        <w:tc>
          <w:tcPr>
            <w:tcW w:type="dxa" w:w="2200"/>
            <w:shd w:fill="1F4E78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业务目的</w:t>
            </w:r>
          </w:p>
        </w:tc>
        <w:tc>
          <w:tcPr>
            <w:tcW w:type="dxa" w:w="1800"/>
            <w:shd w:fill="1F4E78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主要解决的问题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基层卫生院 -&gt; 县人民医院</w:t>
            </w:r>
          </w:p>
        </w:tc>
        <w:tc>
          <w:tcPr>
            <w:tcW w:type="dxa" w:w="3300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患者基本信息、基层诊疗摘要、转诊申请、检查检验申请、会诊申请及必要的健康档案信息。</w:t>
            </w:r>
          </w:p>
        </w:tc>
        <w:tc>
          <w:tcPr>
            <w:tcW w:type="dxa" w:w="2200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让县医院提前了解患者情况，快速受理基层协同事项。</w:t>
            </w:r>
          </w:p>
        </w:tc>
        <w:tc>
          <w:tcPr>
            <w:tcW w:type="dxa" w:w="1800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减少患者重复讲述和材料重复录入；降低转诊信息缺失、申请单错配和电话反复确认。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县人民医院 -&gt; 基层卫生院</w:t>
            </w:r>
          </w:p>
        </w:tc>
        <w:tc>
          <w:tcPr>
            <w:tcW w:type="dxa" w:w="3300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受理状态、预约或接诊安排、检查检验报告、诊疗建议、出院/转诊反馈、会诊结论。</w:t>
            </w:r>
          </w:p>
        </w:tc>
        <w:tc>
          <w:tcPr>
            <w:tcW w:type="dxa" w:w="2200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让基层及时掌握后续处理和结果，继续承担辖区内随访与健康管理。</w:t>
            </w:r>
          </w:p>
        </w:tc>
        <w:tc>
          <w:tcPr>
            <w:tcW w:type="dxa" w:w="1800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解决转出后状态不可见、结果返回慢、基层后续服务缺少依据的问题。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双方共同</w:t>
            </w:r>
          </w:p>
        </w:tc>
        <w:tc>
          <w:tcPr>
            <w:tcW w:type="dxa" w:w="3300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统一机构、人员、科室、患者身份、目录、业务状态、问题编号和验收口径。</w:t>
            </w:r>
          </w:p>
        </w:tc>
        <w:tc>
          <w:tcPr>
            <w:tcW w:type="dxa" w:w="2200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保证同一业务对象能够被正确识别，过程和结果能够共同核对。</w:t>
            </w:r>
          </w:p>
        </w:tc>
        <w:tc>
          <w:tcPr>
            <w:tcW w:type="dxa" w:w="1800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减少患者错配、申请或报告挂错、口径多版本、状态不一致和责任无法落实的问题。</w:t>
            </w:r>
          </w:p>
        </w:tc>
      </w:tr>
    </w:tbl>
    <w:p>
      <w:pPr>
        <w:pStyle w:val="Heading2"/>
        <w:keepNext/>
        <w:keepLines/>
        <w:spacing w:after="12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2.3 重点协同场景与双方收益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600"/>
        <w:gridCol w:w="2200"/>
      </w:tblGrid>
      <w:tr>
        <w:trPr>
          <w:cantSplit/>
          <w:tblHeader/>
        </w:trPr>
        <w:tc>
          <w:tcPr>
            <w:tcW w:type="dxa" w:w="1800"/>
            <w:shd w:fill="1F4E78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业务场景</w:t>
            </w:r>
          </w:p>
        </w:tc>
        <w:tc>
          <w:tcPr>
            <w:tcW w:type="dxa" w:w="2600"/>
            <w:shd w:fill="1F4E78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县人民医院主要目的</w:t>
            </w:r>
          </w:p>
        </w:tc>
        <w:tc>
          <w:tcPr>
            <w:tcW w:type="dxa" w:w="2600"/>
            <w:shd w:fill="1F4E78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基层卫生院主要目的</w:t>
            </w:r>
          </w:p>
        </w:tc>
        <w:tc>
          <w:tcPr>
            <w:tcW w:type="dxa" w:w="2200"/>
            <w:shd w:fill="1F4E78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共同解决的问题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患者与基础信息</w:t>
            </w:r>
          </w:p>
        </w:tc>
        <w:tc>
          <w:tcPr>
            <w:tcW w:type="dxa" w:w="2600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接诊前准确识别患者、来源机构和经办人员。</w:t>
            </w:r>
          </w:p>
        </w:tc>
        <w:tc>
          <w:tcPr>
            <w:tcW w:type="dxa" w:w="2600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减少重复建档和重复填写，保证转出信息准确。</w:t>
            </w:r>
          </w:p>
        </w:tc>
        <w:tc>
          <w:tcPr>
            <w:tcW w:type="dxa" w:w="2200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患者、机构、人员和科室信息对不上。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双向转诊</w:t>
            </w:r>
          </w:p>
        </w:tc>
        <w:tc>
          <w:tcPr>
            <w:tcW w:type="dxa" w:w="2600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提前获得病情和转诊原因，统一受理并反馈去向。</w:t>
            </w:r>
          </w:p>
        </w:tc>
        <w:tc>
          <w:tcPr>
            <w:tcW w:type="dxa" w:w="2600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便捷发起转诊，看到受理、就诊和回转结果。</w:t>
            </w:r>
          </w:p>
        </w:tc>
        <w:tc>
          <w:tcPr>
            <w:tcW w:type="dxa" w:w="2200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靠电话或纸张传递，转诊后状态不可见、闭环困难。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检查检验和报告</w:t>
            </w:r>
          </w:p>
        </w:tc>
        <w:tc>
          <w:tcPr>
            <w:tcW w:type="dxa" w:w="2600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统一接收申请、安排检查并返回审核后的报告，发挥县域医技资源作用。</w:t>
            </w:r>
          </w:p>
        </w:tc>
        <w:tc>
          <w:tcPr>
            <w:tcW w:type="dxa" w:w="2600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在基层完成申请并及时取得结果，持续服务居民。</w:t>
            </w:r>
          </w:p>
        </w:tc>
        <w:tc>
          <w:tcPr>
            <w:tcW w:type="dxa" w:w="2200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申请信息重复录入、结果返回慢、患者多次往返。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电子病历与诊疗摘要</w:t>
            </w:r>
          </w:p>
        </w:tc>
        <w:tc>
          <w:tcPr>
            <w:tcW w:type="dxa" w:w="2600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接诊时了解基层既往诊疗信息，减少重复采集。</w:t>
            </w:r>
          </w:p>
        </w:tc>
        <w:tc>
          <w:tcPr>
            <w:tcW w:type="dxa" w:w="2600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获得县医院必要的诊疗结论和后续服务依据。</w:t>
            </w:r>
          </w:p>
        </w:tc>
        <w:tc>
          <w:tcPr>
            <w:tcW w:type="dxa" w:w="2200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两端病情信息断裂、重复询问、后续管理缺少依据。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远程会诊</w:t>
            </w:r>
          </w:p>
        </w:tc>
        <w:tc>
          <w:tcPr>
            <w:tcW w:type="dxa" w:w="2600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统一组织专家资源、形成会诊结论并反馈。</w:t>
            </w:r>
          </w:p>
        </w:tc>
        <w:tc>
          <w:tcPr>
            <w:tcW w:type="dxa" w:w="2600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便捷申请县医院支持，提升基层处置能力。</w:t>
            </w:r>
          </w:p>
        </w:tc>
        <w:tc>
          <w:tcPr>
            <w:tcW w:type="dxa" w:w="2200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专家资源难下沉、会诊申请和结果缺少统一记录。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报告调阅</w:t>
            </w:r>
          </w:p>
        </w:tc>
        <w:tc>
          <w:tcPr>
            <w:tcW w:type="dxa" w:w="2600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了解基层已有结果，辅助判断是否需要复查。</w:t>
            </w:r>
          </w:p>
        </w:tc>
        <w:tc>
          <w:tcPr>
            <w:tcW w:type="dxa" w:w="2600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查看县医院已授权报告，支持基层后续诊疗。</w:t>
            </w:r>
          </w:p>
        </w:tc>
        <w:tc>
          <w:tcPr>
            <w:tcW w:type="dxa" w:w="2200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重复检查和纸质报告携带不便。</w:t>
            </w:r>
          </w:p>
        </w:tc>
      </w:tr>
    </w:tbl>
    <w:p>
      <w:pPr>
        <w:pStyle w:val="Heading2"/>
        <w:keepNext/>
        <w:keepLines/>
        <w:spacing w:after="12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2.4 协同范围边界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数据接口负责交换必要信息和处理状态，不替代县人民医院或基层卫生院原有的诊疗、审核、收费、公共卫生和管理职责。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数据由产生该记录的机构负责真实性和及时性；接收方负责按授权目的使用，不得擅自扩大用途或再次传播。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县人民医院作为县域协同枢纽统一组织所辖基层卫生院接入，但不代替基层卫生院完成其依法应承担的业务审核和居民服务。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县人民医院仅向已确认的所辖基层卫生院、授权人员和约定业务场景提供必要数据，不是向所有机构开放全部信息。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本期范围是县人民医院与基层卫生院双向协同，不包含基层卫生院之间的横向数据共享；如后续确有需求，应单独评审和授权。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任何系统不得绕过县域统一入口和授权规则直接访问另一方数据库；患者身份、机构范围和当前业务关系不能确认时，不交换敏感信息。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数据打通不代表业务结果自动成立。转诊是否接收、报告是否审核、病历是否生效、收费是否完成，仍由对应业务系统和责任人员确认。</w:t>
      </w:r>
    </w:p>
    <w:p>
      <w:pPr>
        <w:pStyle w:val="Heading2"/>
        <w:keepNext/>
        <w:keepLines/>
        <w:spacing w:after="12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2.5 双方需求确认清单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000"/>
        <w:gridCol w:w="2300"/>
      </w:tblGrid>
      <w:tr>
        <w:trPr>
          <w:cantSplit/>
          <w:tblHeader/>
        </w:trPr>
        <w:tc>
          <w:tcPr>
            <w:tcW w:type="dxa" w:w="1900"/>
            <w:shd w:fill="1F4E78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确认对象</w:t>
            </w:r>
          </w:p>
        </w:tc>
        <w:tc>
          <w:tcPr>
            <w:tcW w:type="dxa" w:w="5000"/>
            <w:shd w:fill="1F4E78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需要明确的内容</w:t>
            </w:r>
          </w:p>
        </w:tc>
        <w:tc>
          <w:tcPr>
            <w:tcW w:type="dxa" w:w="2300"/>
            <w:shd w:fill="1F4E78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形成的结果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县人民医院</w:t>
            </w:r>
          </w:p>
        </w:tc>
        <w:tc>
          <w:tcPr>
            <w:tcW w:type="dxa" w:w="5000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向基层提供哪些服务、接收哪些数据、由哪些科室受理、首期优先级、患者身份匹配和异常处置。</w:t>
            </w:r>
          </w:p>
        </w:tc>
        <w:tc>
          <w:tcPr>
            <w:tcW w:type="dxa" w:w="2300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县域业务方案、责任表、首期清单和管理制度。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基层卫生院</w:t>
            </w:r>
          </w:p>
        </w:tc>
        <w:tc>
          <w:tcPr>
            <w:tcW w:type="dxa" w:w="5000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实际业务痛点、使用入口、转诊与报告流程、所需数据、可提供数据、人员权限和培训安排。</w:t>
            </w:r>
          </w:p>
        </w:tc>
        <w:tc>
          <w:tcPr>
            <w:tcW w:type="dxa" w:w="2300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逐院需求确认单、机构人员清单、业务样例和验收人。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各系统厂商</w:t>
            </w:r>
          </w:p>
        </w:tc>
        <w:tc>
          <w:tcPr>
            <w:tcW w:type="dxa" w:w="5000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现有能力、改造范围、交付边界、计划、依赖、问题响应和运行保障。</w:t>
            </w:r>
          </w:p>
        </w:tc>
        <w:tc>
          <w:tcPr>
            <w:tcW w:type="dxa" w:w="2300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厂商任务书、排期、交付物和服务责任。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双方共同确认</w:t>
            </w:r>
          </w:p>
        </w:tc>
        <w:tc>
          <w:tcPr>
            <w:tcW w:type="dxa" w:w="5000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数据从哪一方产生、谁审核、谁使用、何时交换、结果如何反馈、失败由谁处理、何种证据代表完成。</w:t>
            </w:r>
          </w:p>
        </w:tc>
        <w:tc>
          <w:tcPr>
            <w:tcW w:type="dxa" w:w="2300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逐场景双向协同清单和端到端验收用例。</w:t>
            </w:r>
          </w:p>
        </w:tc>
      </w:tr>
    </w:tbl>
    <w:p>
      <w:pPr>
        <w:pStyle w:val="Heading1"/>
        <w:keepNext/>
        <w:keepLines/>
        <w:spacing w:after="12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三、建议纳入的业务范围</w:t>
      </w:r>
    </w:p>
    <w:p>
      <w:pPr>
        <w:keepNext w:val="false"/>
        <w:keepLines w:val="false"/>
        <w:spacing w:after="12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建议把现有业务能力按“首期核心、第二阶段、后续按需”管理。最终范围必须与医院接入申请、业务需求和平台主管部门批准内容一致。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000"/>
        <w:gridCol w:w="2500"/>
      </w:tblGrid>
      <w:tr>
        <w:trPr>
          <w:cantSplit/>
          <w:tblHeader/>
        </w:trPr>
        <w:tc>
          <w:tcPr>
            <w:tcW w:type="dxa" w:w="1700"/>
            <w:shd w:fill="1F4E78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分组</w:t>
            </w:r>
          </w:p>
        </w:tc>
        <w:tc>
          <w:tcPr>
            <w:tcW w:type="dxa" w:w="5000"/>
            <w:shd w:fill="1F4E78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业务内容</w:t>
            </w:r>
          </w:p>
        </w:tc>
        <w:tc>
          <w:tcPr>
            <w:tcW w:type="dxa" w:w="2500"/>
            <w:shd w:fill="1F4E78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建议处理</w:t>
            </w:r>
          </w:p>
        </w:tc>
      </w:tr>
      <w:tr>
        <w:trPr>
          <w:cantSplit/>
        </w:trPr>
        <w:tc>
          <w:tcPr>
            <w:tcW w:type="dxa" w:w="1700"/>
            <w:shd w:fill="D9EAF7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基础准备</w:t>
            </w:r>
          </w:p>
        </w:tc>
        <w:tc>
          <w:tcPr>
            <w:tcW w:type="dxa" w:w="5000"/>
            <w:shd w:fill="D9EAF7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接入审批、机构与人员、科室与目录、患者身份匹配、权限与安全</w:t>
            </w:r>
          </w:p>
        </w:tc>
        <w:tc>
          <w:tcPr>
            <w:tcW w:type="dxa" w:w="2500"/>
            <w:shd w:fill="D9EAF7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最先完成，是其他业务启动的共同前提</w:t>
            </w:r>
          </w:p>
        </w:tc>
      </w:tr>
      <w:tr>
        <w:trPr>
          <w:cantSplit/>
        </w:trPr>
        <w:tc>
          <w:tcPr>
            <w:tcW w:type="dxa" w:w="1700"/>
            <w:shd w:fill="E2F0D9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首期核心</w:t>
            </w:r>
          </w:p>
        </w:tc>
        <w:tc>
          <w:tcPr>
            <w:tcW w:type="dxa" w:w="5000"/>
            <w:shd w:fill="E2F0D9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健康档案上传与修改、健康体检上传与修改、检查检验与心电申请和报告反馈</w:t>
            </w:r>
          </w:p>
        </w:tc>
        <w:tc>
          <w:tcPr>
            <w:tcW w:type="dxa" w:w="2500"/>
            <w:shd w:fill="E2F0D9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优先形成可见、可核对的完整业务闭环</w:t>
            </w:r>
          </w:p>
        </w:tc>
      </w:tr>
      <w:tr>
        <w:trPr>
          <w:cantSplit/>
        </w:trPr>
        <w:tc>
          <w:tcPr>
            <w:tcW w:type="dxa" w:w="1700"/>
            <w:shd w:fill="D9EAF7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第二阶段</w:t>
            </w:r>
          </w:p>
        </w:tc>
        <w:tc>
          <w:tcPr>
            <w:tcW w:type="dxa" w:w="5000"/>
            <w:shd w:fill="D9EAF7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电子病历、档案摘要查询、双向转诊</w:t>
            </w:r>
          </w:p>
        </w:tc>
        <w:tc>
          <w:tcPr>
            <w:tcW w:type="dxa" w:w="2500"/>
            <w:shd w:fill="D9EAF7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待基础数据稳定、责任边界和规则确认后启动</w:t>
            </w:r>
          </w:p>
        </w:tc>
      </w:tr>
      <w:tr>
        <w:trPr>
          <w:cantSplit/>
        </w:trPr>
        <w:tc>
          <w:tcPr>
            <w:tcW w:type="dxa" w:w="1700"/>
            <w:shd w:fill="FFF2CC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后续按需</w:t>
            </w:r>
          </w:p>
        </w:tc>
        <w:tc>
          <w:tcPr>
            <w:tcW w:type="dxa" w:w="5000"/>
            <w:shd w:fill="FFF2CC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慢病管理、家庭医生、便民挂缴查、分诊叫号、远程会诊、跨机构报告调阅</w:t>
            </w:r>
          </w:p>
        </w:tc>
        <w:tc>
          <w:tcPr>
            <w:tcW w:type="dxa" w:w="2500"/>
            <w:shd w:fill="FFF2CC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由业务部门确认实际需求、政策范围和投入后分域立项</w:t>
            </w:r>
          </w:p>
        </w:tc>
      </w:tr>
      <w:tr>
        <w:trPr>
          <w:cantSplit/>
        </w:trPr>
        <w:tc>
          <w:tcPr>
            <w:tcW w:type="dxa" w:w="1700"/>
            <w:shd w:fill="FCE4D6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暂不承诺</w:t>
            </w:r>
          </w:p>
        </w:tc>
        <w:tc>
          <w:tcPr>
            <w:tcW w:type="dxa" w:w="5000"/>
            <w:shd w:fill="FCE4D6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尚未获批、缺少正式资料、责任方未明确或验收条件不具备的事项</w:t>
            </w:r>
          </w:p>
        </w:tc>
        <w:tc>
          <w:tcPr>
            <w:tcW w:type="dxa" w:w="2500"/>
            <w:shd w:fill="FCE4D6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保持待确认，不安排生产上线</w:t>
            </w:r>
          </w:p>
        </w:tc>
      </w:tr>
    </w:tbl>
    <w:p>
      <w:pPr>
        <w:pStyle w:val="Heading2"/>
        <w:keepNext/>
        <w:keepLines/>
        <w:spacing w:after="12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范围管理的三条规则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不以清单中的数量作为项目完成度，按业务领域和完整场景验收。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任何新增、取消或调整优先级，都应记录提出人、原因、影响、批准人和生效时间。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没有正式资料、脱敏样例、环境条件和责任人的事项，统一列为阻断，不要求厂商猜测开发。</w:t>
      </w:r>
    </w:p>
    <w:p>
      <w:pPr>
        <w:pStyle w:val="Heading1"/>
        <w:keepNext/>
        <w:keepLines/>
        <w:spacing w:after="12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四、业务如何协同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600"/>
      </w:tblGrid>
      <w:tr>
        <w:trPr>
          <w:cantSplit/>
          <w:tblHeader/>
        </w:trPr>
        <w:tc>
          <w:tcPr>
            <w:tcW w:type="dxa" w:w="1900"/>
            <w:shd w:fill="1F4E78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典型场景</w:t>
            </w:r>
          </w:p>
        </w:tc>
        <w:tc>
          <w:tcPr>
            <w:tcW w:type="dxa" w:w="4700"/>
            <w:shd w:fill="1F4E78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业务过程</w:t>
            </w:r>
          </w:p>
        </w:tc>
        <w:tc>
          <w:tcPr>
            <w:tcW w:type="dxa" w:w="2600"/>
            <w:shd w:fill="1F4E78" w:color="auto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双方协同关注点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健康档案与体检</w:t>
            </w:r>
          </w:p>
        </w:tc>
        <w:tc>
          <w:tcPr>
            <w:tcW w:type="dxa" w:w="4700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业务人员完成并审核记录，系统自动提交；失败项目进入待处理清单，处理后再次核对。</w:t>
            </w:r>
          </w:p>
        </w:tc>
        <w:tc>
          <w:tcPr>
            <w:tcW w:type="dxa" w:w="2600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不得阻塞正常诊疗；上传结果可追踪；修改必须对应原记录。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检查、检验与心电</w:t>
            </w:r>
          </w:p>
        </w:tc>
        <w:tc>
          <w:tcPr>
            <w:tcW w:type="dxa" w:w="4700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医技系统取得申请信息，报告审核后回到HIS，医生在原工作界面查看结果。</w:t>
            </w:r>
          </w:p>
        </w:tc>
        <w:tc>
          <w:tcPr>
            <w:tcW w:type="dxa" w:w="2600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申请单不能错配；未审核报告不得发布；修订和撤销需留痕。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电子病历</w:t>
            </w:r>
          </w:p>
        </w:tc>
        <w:tc>
          <w:tcPr>
            <w:tcW w:type="dxa" w:w="4700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医生从HIS进入病历系统，完成病历后回到HIS并保留完整记录。</w:t>
            </w:r>
          </w:p>
        </w:tc>
        <w:tc>
          <w:tcPr>
            <w:tcW w:type="dxa" w:w="2600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登录身份、患者和就诊必须一致；病历回写是否必做需尽快决策。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双向转诊</w:t>
            </w:r>
          </w:p>
        </w:tc>
        <w:tc>
          <w:tcPr>
            <w:tcW w:type="dxa" w:w="4700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发起方选择患者和接收机构，接收方确认后形成回执，双方可查询处理状态。</w:t>
            </w:r>
          </w:p>
        </w:tc>
        <w:tc>
          <w:tcPr>
            <w:tcW w:type="dxa" w:w="2600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机构和患者匹配准确；退回、取消和重复提交均有明确处理。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挂号缴费与退费</w:t>
            </w:r>
          </w:p>
        </w:tc>
        <w:tc>
          <w:tcPr>
            <w:tcW w:type="dxa" w:w="4700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患者完成挂号或缴费后可查询结果；结果不明确时先核对再处理。</w:t>
            </w:r>
          </w:p>
        </w:tc>
        <w:tc>
          <w:tcPr>
            <w:tcW w:type="dxa" w:w="2600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严禁在结果未知时重复收费；账单和退费每日核对。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跨机构报告调阅</w:t>
            </w:r>
          </w:p>
        </w:tc>
        <w:tc>
          <w:tcPr>
            <w:tcW w:type="dxa" w:w="4700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医生在诊疗过程中看到报告提示，经授权后查看外院报告。</w:t>
            </w:r>
          </w:p>
        </w:tc>
        <w:tc>
          <w:tcPr>
            <w:tcW w:type="dxa" w:w="2600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只展示与当前诊疗相关的最少信息；访问权限和记录可审计。</w:t>
            </w:r>
          </w:p>
        </w:tc>
      </w:tr>
    </w:tbl>
    <w:sectPr>
      <w:footerReference w:type="default" r:id="rId7"/>
      <w:pgSz w:w="11906" w:h="16838" w:orient="portrait"/>
      <w:pgMar w:top="10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sz w:val="18"/>
        <w:szCs w:val="18"/>
      </w:rPr>
      <w:t xml:space="preserve">县人民医院与基层卫生院信息化协同对接方案  |  </w:t>
    </w:r>
    <w:r>
      <w:rPr>
        <w:rFonts w:ascii="Microsoft YaHei" w:cs="Microsoft YaHei" w:eastAsia="Microsoft YaHei" w:hAnsi="Microsoft YaHei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>
      <w:pPr>
        <w:spacing w:line="3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Microsoft YaHei" w:cs="Microsoft YaHei" w:eastAsia="Microsoft YaHei" w:hAnsi="Microsoft YaHei"/>
      <w:b/>
      <w:bCs/>
      <w:color w:val="1F4E78"/>
      <w:sz w:val="31"/>
      <w:szCs w:val="31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Microsoft YaHei" w:cs="Microsoft YaHei" w:eastAsia="Microsoft YaHei" w:hAnsi="Microsoft YaHei"/>
      <w:b/>
      <w:bCs/>
      <w:color w:val="1F4E78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2026-09-10T06:32:24.547Z</dcterms:created>
  <dcterms:modified xsi:type="dcterms:W3CDTF">2026-09-10T06:32:24.548Z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