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600"/>
        <w:jc w:val="center"/>
      </w:pPr>
      <w:r>
        <w:rPr>
          <w:rFonts w:ascii="Microsoft YaHei" w:cs="Microsoft YaHei" w:eastAsia="Microsoft YaHei" w:hAnsi="Microsoft YaHei"/>
          <w:b/>
          <w:bCs/>
          <w:color w:val="1F4E78"/>
          <w:sz w:val="38"/>
          <w:szCs w:val="38"/>
        </w:rPr>
        <w:t xml:space="preserve">县级人民医院</w:t>
      </w:r>
    </w:p>
    <w:p>
      <w:pPr>
        <w:spacing w:after="260"/>
        <w:jc w:val="center"/>
      </w:pPr>
      <w:r>
        <w:rPr>
          <w:rFonts w:ascii="Microsoft YaHei" w:cs="Microsoft YaHei" w:eastAsia="Microsoft YaHei" w:hAnsi="Microsoft YaHei"/>
          <w:b/>
          <w:bCs/>
          <w:color w:val="1F4E78"/>
          <w:sz w:val="44"/>
          <w:szCs w:val="44"/>
        </w:rPr>
        <w:t xml:space="preserve">“基层和健康 V1.0”对接总体方案</w:t>
      </w:r>
    </w:p>
    <w:p>
      <w:pPr>
        <w:spacing w:after="90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基于《四川省健康档案云服务平台应用接口规范（V1.0）》与《四川省基层医疗卫生机构管理信息系统应用接口规范（V1.0）》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cantSplit/>
          <w:tblHeader/>
        </w:trPr>
        <w:tc>
          <w:tcPr>
            <w:tcW w:type="dxa" w:w="22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文档属性</w:t>
            </w:r>
          </w:p>
        </w:tc>
        <w:tc>
          <w:tcPr>
            <w:tcW w:type="dxa" w:w="70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方案版本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V1.1（评审稿）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接口规范版本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编制日期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2026年9月10日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适用对象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医院信息科、HIS/EMR厂商、集成平台厂商、业务科室、实施与测试团队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配套文件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县级人民医院_基层和健康V1.0接口矩阵.xlsx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本次修订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新增信息边界、环境拓扑、统一状态模型、联调准入门槛、责任里程碑、上线检查和量化回退触发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执行摘要</w:t>
      </w:r>
    </w:p>
    <w:p>
      <w:pPr>
        <w:keepNext w:val="false"/>
        <w:keepLines w:val="false"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建议以“院内集成平台”为唯一对外接口边界，现有 C/S HIS 工作站只负责业务入口和结果展示，不直接持有云平台密钥、不直接访问外网，也不在客户端实现重试。集成平台统一完成 REST/JSON 与 SOAP WebService 两套协议适配、鉴权、数据映射、异步队列、审计、对账和异常补偿。</w:t>
      </w:r>
    </w:p>
    <w:p>
      <w:pPr>
        <w:keepNext w:val="false"/>
        <w:keepLines w:val="false"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原 Excel 不是可直接据此开发的最终范围：其中健康云21行、基层HIS 53行，共74行；通知正文称21+52=73个。基层HIS中的远程会诊复用了300-001/300-002，而规范另有一个无独立交易码的“报告跨机构调阅”能力。项目必须分别按“接口行、唯一交易码、业务能力”确认口径。</w:t>
      </w:r>
    </w:p>
    <w:p>
      <w:pPr>
        <w:keepNext w:val="false"/>
        <w:keepLines w:val="false"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首轮范围需做三项修正：云平台登录/区划/用户与基层100-*基础接口由“按实际/99”提升为P0前置；电子病历400-003虽在Excel标记“不做”，但规范明确要求病历回写，应列为P2必补；报告跨机构调阅需补入范围确认。</w:t>
      </w:r>
    </w:p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1.1 核心结论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健康云21个接口全部由院内集成平台主动调用省云平台，采用HTTPS、REST/JSON、hie_secret签名、c_token与登录token。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基层HIS接口以医院侧WebService方式暴露，第三方系统按TradeCode调用；电子病历、远程会诊、报告互认还包含HIS打开第三方页面的反向流程。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原规范没有形成完整的幂等、超时、重试、熔断、补偿和监控约定，必须由院内集成平台补齐。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规范内存在多处阻断性冲突，尤其是500-003/500-004、700-003/700-004、300-003成功值，以及PHIS_Interface/HIS_Interface；未书面确认前不得进入生产。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生产环境应使用专网或严格IP白名单、TLS、等保要求、最小权限和敏感日志脱敏；测试文档中的HTTP地址、账号、验证码只用于隔离联调。</w:t>
      </w:r>
    </w:p>
    <w:p>
      <w:pPr>
        <w:pStyle w:val="Heading1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范围与现状评估</w:t>
      </w:r>
    </w:p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2.1 接口范围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3100"/>
        <w:gridCol w:w="3000"/>
      </w:tblGrid>
      <w:tr>
        <w:trPr>
          <w:cantSplit/>
          <w:tblHeader/>
        </w:trPr>
        <w:tc>
          <w:tcPr>
            <w:tcW w:type="dxa" w:w="21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域</w:t>
            </w:r>
          </w:p>
        </w:tc>
        <w:tc>
          <w:tcPr>
            <w:tcW w:type="dxa" w:w="12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Excel行数</w:t>
            </w:r>
          </w:p>
        </w:tc>
        <w:tc>
          <w:tcPr>
            <w:tcW w:type="dxa" w:w="31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现状</w:t>
            </w:r>
          </w:p>
        </w:tc>
        <w:tc>
          <w:tcPr>
            <w:tcW w:type="dxa" w:w="30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方案判断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健康档案云平台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21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6项“可做”、6项“可做但依赖其他系统改造”、8项按实际、1项不做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上传/修改是核心；查询与基础接口是前置或工作站能力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基层HIS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53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30项可做、23项不做；含远程会诊复用接口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基础、PACS/LIS/心电、转诊、EMR具备改造基础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规范补充能力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Excel未列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报告跨机构调阅，无独立交易码，需作为页面/API能力确认</w:t>
            </w:r>
          </w:p>
        </w:tc>
      </w:tr>
    </w:tbl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2.2 原优先级的依赖倒置</w:t>
      </w:r>
    </w:p>
    <w:p>
      <w:pPr>
        <w:keepNext w:val="false"/>
        <w:keepLines w:val="false"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原清单把PACS/LIS/心电与健康档案上传列为优先级1，却把认证、机构、人员和目录接口列为99或“按实际”。这会导致高优先级业务没有稳定主数据和授权基础。实施优先级应按依赖重排，而不是照抄原数字。</w:t>
      </w:r>
    </w:p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2.3 编制依据与信息边界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900"/>
      </w:tblGrid>
      <w:tr>
        <w:trPr>
          <w:cantSplit/>
          <w:tblHeader/>
        </w:trPr>
        <w:tc>
          <w:tcPr>
            <w:tcW w:type="dxa" w:w="25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依据</w:t>
            </w:r>
          </w:p>
        </w:tc>
        <w:tc>
          <w:tcPr>
            <w:tcW w:type="dxa" w:w="28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  <w:tc>
          <w:tcPr>
            <w:tcW w:type="dxa" w:w="39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当前证据边界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省级开放通知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确认开放范围、申请流程和安全要求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可确认政策要求；不能替代医院接入批复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两套V1.0接口规范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识别协议、字段、交易码和调用流程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存在勘误项；冲突处不得据此猜测实现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原《接口列表.xlsx》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识别医院初步范围、优先级和改造意见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属于需求输入，不代表平台主管部门或厂商最终承诺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联调环境资料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固化URL、WSDL、证书、账号、白名单、限流和真实回执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目前未纳入本方案证据；取得后登记到配套矩阵并版本化</w:t>
            </w:r>
          </w:p>
        </w:tc>
      </w:tr>
    </w:tbl>
    <w:p>
      <w:pPr>
        <w:keepNext w:val="false"/>
        <w:keepLines w:val="false"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本方案给出目标设计与执行基线，不等同于接口开通批准或生产可用证明。所有标记为“待提供、待确认、阻断”的内容，在责任方提交可复核证据前均保持未关闭状态。</w:t>
      </w:r>
    </w:p>
    <w:p>
      <w:pPr>
        <w:pStyle w:val="Heading1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目标架构</w:t>
      </w:r>
    </w:p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3.1 逻辑架构</w:t>
      </w:r>
    </w:p>
    <w:p>
      <w:pPr>
        <w:keepNext w:val="false"/>
        <w:keepLines w:val="false"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C/S工作站 -&gt; HIS业务服务/数据库视图 -&gt; 院内集成平台 -&gt; 省健康档案云平台、基层统建系统及第三方业务系统。外部系统调用医院时，流量先经过医院边界接入区/API网关，再进入院内集成平台，最终访问受控HIS服务；禁止外部系统直连HIS数据库。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cantSplit/>
          <w:tblHeader/>
        </w:trPr>
        <w:tc>
          <w:tcPr>
            <w:tcW w:type="dxa" w:w="24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组件</w:t>
            </w:r>
          </w:p>
        </w:tc>
        <w:tc>
          <w:tcPr>
            <w:tcW w:type="dxa" w:w="68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API网关/边界代理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TLS终止、IP白名单、限流、报文大小限制、访问审计；SOAP入口仅开放所需方法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健康云适配器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REST路由、MD5签名、token缓存与刷新、0/200成功码兼容、字段字典转换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基层HIS适配器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PHIS_Interface统一入口、TradeCode路由、SOAP/XML与JSON字符串解析、响应模型归一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数据映射层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患者主索引、机构/人员/科室、诊断、三大目录和公共卫生字典映射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可靠消息/出站箱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上传、修改、报告回写等写操作异步化；去重、重试、死信和人工重放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回执与对账库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保存云平台id/sjlyId、外部流水、原始报文摘要、状态轨迹和日对账结果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运维控制台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接口开关、版本化配置、凭证轮换、失败检索、脱敏重放、指标与告警</w:t>
            </w:r>
          </w:p>
        </w:tc>
      </w:tr>
    </w:tbl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3.2 C/S工作站改造原则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工作站只调用院内服务，使用当前登录用户与就诊上下文，不保存省平台账号、token或验证码。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档案摘要、电子病历、互认报告采用按需入口；长耗时操作异步提交并显示可追踪状态。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上传/修改在业务审核完成后触发；未通过字段校验的数据进入待处理列表，不阻塞HIS主流程。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PACS/LIS/心电报告回写必须在报告审核后执行，撤销或修订通过版本号控制。</w:t>
      </w:r>
    </w:p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3.3 部署与环境隔离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000"/>
      </w:tblGrid>
      <w:tr>
        <w:trPr>
          <w:cantSplit/>
          <w:tblHeader/>
        </w:trPr>
        <w:tc>
          <w:tcPr>
            <w:tcW w:type="dxa" w:w="19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区域/环境</w:t>
            </w:r>
          </w:p>
        </w:tc>
        <w:tc>
          <w:tcPr>
            <w:tcW w:type="dxa" w:w="33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部署内容</w:t>
            </w:r>
          </w:p>
        </w:tc>
        <w:tc>
          <w:tcPr>
            <w:tcW w:type="dxa" w:w="40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边界要求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院内业务区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HIS/EMR、受控只读视图或院内服务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不得被外部系统直连数据库；仅向集成区开放最小端口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院内集成区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API网关、适配器、队列、映射库、回执与运维控制台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按机构和环境隔离配置；管理面与业务面分离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边界接入区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反向代理、WAF/访问控制、证书与出口策略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专网优先；临时互联网仅限审批后的IP和时段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开发/测试/生产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独立地址、账号、密钥、队列、数据库和日志索引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禁止跨环境复用凭证与真实健康数据；测试数据须脱敏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省平台/第三方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健康云、基层统建应用、PACS/LIS/心电/互认等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以书面授权、正式路由、WSDL/OpenAPI和限流基线为准</w:t>
            </w:r>
          </w:p>
        </w:tc>
      </w:tr>
    </w:tbl>
    <w:p>
      <w:pPr>
        <w:pStyle w:val="Heading1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接口调用与数据流</w:t>
      </w:r>
    </w:p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4.1 健康档案云平台</w:t>
      </w:r>
    </w:p>
    <w:p>
      <w:pPr>
        <w:keepNext w:val="false"/>
        <w:keepLines w:val="false"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调用链为：取得接入授权 -&gt; 登录获取access token -&gt; 缓存区划与本机构用户 -&gt; HIS业务数据校验与字典转换 -&gt; POST上传 -&gt; 事务保存id/sjlyId/jtId回执 -&gt; 后续PUT修改。所有调用携带hie_event_code、hie_app_key、hie_time_stamp、hie_secret，以及c_token和accesstoken请求头。</w:t>
      </w:r>
    </w:p>
    <w:p>
      <w:pPr>
        <w:keepNext w:val="false"/>
        <w:keepLines w:val="false"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hie_secret按文档要求计算md5(hie_app_key+授权key+hie_event_code+hie_time_stamp)。平台允许时间偏差窗口最长半小时，但医院服务器仍应统一NTP校时；生产不得因兼容MD5而放宽网络边界控制。</w:t>
      </w:r>
    </w:p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4.2 基层HIS WebService</w:t>
      </w:r>
    </w:p>
    <w:p>
      <w:pPr>
        <w:keepNext w:val="false"/>
        <w:keepLines w:val="false"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所有交易经SOAP POST调用统一入口，一级参数为TradeCode与InputParameter，后者是JSON字符串。适配层必须同时容忍Result/result、Msg/msg、数值/字符串和Msg嵌套JSON字符串等历史差异，并将其归一成内部统一响应；原始报文需加密留存或留摘要以便审计。</w:t>
      </w:r>
    </w:p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4.3 关键业务闭环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00"/>
      </w:tblGrid>
      <w:tr>
        <w:trPr>
          <w:cantSplit/>
          <w:tblHeader/>
        </w:trPr>
        <w:tc>
          <w:tcPr>
            <w:tcW w:type="dxa" w:w="21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业务</w:t>
            </w:r>
          </w:p>
        </w:tc>
        <w:tc>
          <w:tcPr>
            <w:tcW w:type="dxa" w:w="71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闭环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健康档案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HIS视图 -&gt; 校验/映射 -&gt; 上传 -&gt; 回执落库 -&gt; 修改引用id/sjlyId -&gt; 对账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PACS/LIS/心电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医技站按申请单号拉取 -&gt; 执行 -&gt; 审核报告 -&gt; FHIR+Base64回写 -&gt; HIS展示/状态更新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电子病历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HIS携业务ID和短效token打开EMR -&gt; EMR验token -&gt; 查询患者/诊断/护理 -&gt; 保存签名 -&gt; 400-003回写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双向转诊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上转查询300-001/002；下转先取机构信息，再以FHIR Base64调用300-003并保存回执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便民挂缴查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基础目录与虚拟收费员 -&gt; 挂号/缴费 -&gt; 未知结果查状态 -&gt; 原路退费协调 -&gt; 200-015日对账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报告互认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HIS按患者身份查询有无报告 -&gt; 展示状态 -&gt; 打开互认平台报告页；需明确授权和最小披露</w:t>
            </w:r>
          </w:p>
        </w:tc>
      </w:tr>
    </w:tbl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4.4 统一处理状态与审计链</w:t>
      </w:r>
    </w:p>
    <w:p>
      <w:pPr>
        <w:keepNext w:val="false"/>
        <w:keepLines w:val="false"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院内集成平台对所有写操作使用统一状态：RECEIVED（已接收）-&gt; VALIDATED（已校验）-&gt; SENT（已发送）-&gt; ACKNOWLEDGED（已取得明确回执）-&gt; RECONCILED（已对账）。可恢复失败进入RETRY_WAIT，不可自动判断的超时或冲突进入MANUAL_REVIEW，明确业务拒绝进入REJECTED。只有取得可核验回执才能标记ACKNOWLEDGED，HTTP 200本身不等于业务成功。</w:t>
      </w:r>
    </w:p>
    <w:p>
      <w:pPr>
        <w:keepNext w:val="false"/>
        <w:keepLines w:val="false"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次状态迁移至少记录requestId、机构、接口代码、源业务主键、报文摘要、目标地址标识、开始/结束时间、响应代码、重试次数、操作者或服务身份和配置版本。敏感原文按最小化原则加密保存，并设置访问审批和保留期限。</w:t>
      </w:r>
    </w:p>
    <w:p>
      <w:pPr>
        <w:pStyle w:val="Heading1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5. 可靠性与安全设计</w:t>
      </w:r>
    </w:p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5.1 幂等与补偿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上传：以机构+源系统+源主键+业务类型建立唯一键；平台回执与本地状态同事务保存。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修改：以平台id+sjlyId+源版本号去重；发生版本冲突时停止自动覆盖并转人工。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报告/病历回写：以申请单或业务ID+文档类型+版本建立唯一键，重复请求返回既有处理结果。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挂号/缴费/退费：使用厂商唯一标识和外部业务单号；超时结果未知时先查挂号、已缴费或账单状态，禁止直接重发。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查询：仅对网络异常、超时和5xx执行最多2次指数退避重试；鉴权、参数和权限错误不重试。</w:t>
      </w:r>
    </w:p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5.2 超时与容量</w:t>
      </w:r>
    </w:p>
    <w:p>
      <w:pPr>
        <w:keepNext w:val="false"/>
        <w:keepLines w:val="false"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建议连接超时3秒、普通查询读取15秒、写操作30秒、大病历/护理报文60秒。健康云缺省QPS=300，但医院网关应按业务和厂商设置更低的配额并支持动态调整。轮询类接口需加入抖动，避免多个终端同时整秒请求。</w:t>
      </w:r>
    </w:p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5.3 安全控制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密钥、c_token、平台账号和基层验证码放入集中凭证库，按环境和机构隔离，禁止写入客户端、源码和普通日志。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日志默认脱敏姓名、证件号、电话、地址、病历和报告；排障查看明文需审批并全程审计。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单点登录token应一次性、短时有效并绑定用户、机构、业务ID与目标系统；URL中只放不可逆短票据。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外部调用经专网或IP白名单和TLS，SOAP解析关闭外部实体，限制XML/JSON/Base64及解压后大小。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按接口事件码/交易码授予最小权限；离职人员、停用机构和过期授权应自动失效。</w:t>
      </w:r>
    </w:p>
    <w:p>
      <w:pPr>
        <w:pStyle w:val="Heading1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6. 规范冲突与待确认项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100"/>
        <w:gridCol w:w="4100"/>
      </w:tblGrid>
      <w:tr>
        <w:trPr>
          <w:cantSplit/>
          <w:tblHeader/>
        </w:trPr>
        <w:tc>
          <w:tcPr>
            <w:tcW w:type="dxa" w:w="10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级别</w:t>
            </w:r>
          </w:p>
        </w:tc>
        <w:tc>
          <w:tcPr>
            <w:tcW w:type="dxa" w:w="41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tcW w:type="dxa" w:w="41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处理要求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阻断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健康云成功码200与示例0冲突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联调确认；未确认前用配置兼容0/200并校验业务数据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阻断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基层接口要求HTTPS但地址/示例为HTTP；PHIS_Interface与HIS_Interface冲突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主管部门提供正式WSDL、URL、SOAPAction、证书与函数名基线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阻断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500-003详细交易号写500-004；700-003写700-004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书面确认实际TradeCode，代码配置化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阻断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300-003的Result成功值自相矛盾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以正式回执样例和联调结果固化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高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100-009又被写为9000/3102；900-001参数表写1002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按总览代码联调并形成勘误单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高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400-003在Excel不做，但规范要求病历回写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纳入电子病历验收范围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高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接口73/74口径、复用交易码、无交易码能力不一致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申请表按业务能力列明，验收表同时记录行数和唯一交易码数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高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日期、大小写、Msg类型、路径存在多种格式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适配层配置化容错，医院内部模型保持严格类型</w:t>
            </w:r>
          </w:p>
        </w:tc>
      </w:tr>
    </w:tbl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6.1 联调准入门槛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800"/>
      </w:tblGrid>
      <w:tr>
        <w:trPr>
          <w:cantSplit/>
          <w:tblHeader/>
        </w:trPr>
        <w:tc>
          <w:tcPr>
            <w:tcW w:type="dxa" w:w="16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门槛</w:t>
            </w:r>
          </w:p>
        </w:tc>
        <w:tc>
          <w:tcPr>
            <w:tcW w:type="dxa" w:w="48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必须具备的证据</w:t>
            </w:r>
          </w:p>
        </w:tc>
        <w:tc>
          <w:tcPr>
            <w:tcW w:type="dxa" w:w="28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未满足时处理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G1 范围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接入申请获批；机构、业务域、接口代码和使用期限一致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不安排该域开发联调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G2 契约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正式WSDL/OpenAPI、勘误确认、成功码和错误码、报文样例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标记CONTRACT_BLOCKED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G3 网络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测试/生产地址、专网或白名单、端口、DNS、TLS证书链验证通过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仅做离线契约准备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G4 身份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厂商编号、账号、验证码、app key/token的发放与轮换责任明确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不得以共享或测试凭证替代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G5 数据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脱敏样例、字典版本、机构人员映射和患者匹配规则经业务确认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不得用臆造字段映射开发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G6 验收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测试范围、数据准备、指标、签字人和证据存放位置明确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不得宣称该域已具备上线条件</w:t>
            </w:r>
          </w:p>
        </w:tc>
      </w:tr>
    </w:tbl>
    <w:p>
      <w:pPr>
        <w:pStyle w:val="Heading1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7. 分期实施计划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800"/>
      </w:tblGrid>
      <w:tr>
        <w:trPr>
          <w:cantSplit/>
          <w:tblHeader/>
        </w:trPr>
        <w:tc>
          <w:tcPr>
            <w:tcW w:type="dxa" w:w="14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50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范围</w:t>
            </w:r>
          </w:p>
        </w:tc>
        <w:tc>
          <w:tcPr>
            <w:tcW w:type="dxa" w:w="28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退出条件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P0 底座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审批、网络、安全、网关、健康云基础接口、基层100-*、字典和主索引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认证/目录连续7天成功率不低于99.9%，冲突项有书面基线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P1 核心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健康档案与体检上传/修改；PACS/LIS/心电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重复、超时、重放、报告回写、业务抽样和对账通过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 病历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400-001~010，含400-003回写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SSO、查询、保存、回写、历史调阅及审计闭环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P3 协同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档案摘要查询、双向转诊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患者匹配和转诊FHIR全链路通过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P4 扩展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慢病、家医、便民、叫号、远程会诊、报告互认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业务主管部门确认范围后分域验收</w:t>
            </w:r>
          </w:p>
        </w:tc>
      </w:tr>
    </w:tbl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7.1 角色分工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900"/>
      </w:tblGrid>
      <w:tr>
        <w:trPr>
          <w:cantSplit/>
          <w:tblHeader/>
        </w:trPr>
        <w:tc>
          <w:tcPr>
            <w:tcW w:type="dxa" w:w="23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dxa" w:w="69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主要责任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医院信息科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项目牵头、网络与安全、主数据、厂商协调、变更和上线审批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业务科室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字段口径、流程与权限确认、样例数据、业务验收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HIS/EMR厂商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受控服务/视图、工作站入口、业务状态回写、性能与数据一致性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集成平台厂商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协议适配、映射、队列、幂等、监控、对账、工具与技术文档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省/基层平台方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授权、正式WSDL与路由、勘误确认、联调环境、限流和错误码解释</w:t>
            </w:r>
          </w:p>
        </w:tc>
      </w:tr>
    </w:tbl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7.2 责任与里程碑控制</w:t>
      </w:r>
    </w:p>
    <w:p>
      <w:pPr>
        <w:keepNext w:val="false"/>
        <w:keepLines w:val="false"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项接口仅设一个执行责任方和一个验收责任方。医院信息科维护范围、阻断项和版本基线；厂商按矩阵登记负责人、计划日期、当前状态和证据链接。状态只能按“未开始、合同阻断、环境阻断、开发中、联调中、待验收、已通过、暂缓”流转，口头完成不作为关闭依据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000"/>
      </w:tblGrid>
      <w:tr>
        <w:trPr>
          <w:cantSplit/>
          <w:tblHeader/>
        </w:trPr>
        <w:tc>
          <w:tcPr>
            <w:tcW w:type="dxa" w:w="20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里程碑</w:t>
            </w:r>
          </w:p>
        </w:tc>
        <w:tc>
          <w:tcPr>
            <w:tcW w:type="dxa" w:w="32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主责</w:t>
            </w:r>
          </w:p>
        </w:tc>
        <w:tc>
          <w:tcPr>
            <w:tcW w:type="dxa" w:w="40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完成证据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M0 范围冻结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医院信息科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批准的申请表、接口范围和不做项决策记录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M1 契约基线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省/基层平台方+集成平台厂商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WSDL/OpenAPI、勘误单、样例、版本指纹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M2 环境就绪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医院信息科+网络安全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连通性、TLS、白名单、NTP和凭证验证记录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M3 单接口通过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对应开发厂商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请求响应、断言、日志traceId和缺陷关闭记录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M4 业务域验收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业务科室+信息科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端到端场景、数据一致性、补偿和对账报告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M5 生产准入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医院变更审批责任人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上线检查表、回退演练、监控值班和签字记录</w:t>
            </w:r>
          </w:p>
        </w:tc>
      </w:tr>
    </w:tbl>
    <w:p>
      <w:pPr>
        <w:pStyle w:val="Heading1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8. 测试与验收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契约测试：每个事件码/交易码覆盖必填、边界、空结果、非法字典、大小写与响应类型变体。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业务测试：按患者、就诊、申请单、报告、病历、转诊和收费执行端到端闭环。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可靠性测试：重复请求、服务超时、断网、进程重启、回执丢失、消息积压、死信重放和对账差异。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安全测试：越权、过期token、签名错误、重放、恶意XML、超大Base64、日志脱敏和凭证轮换。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性能测试：按峰值并发与轮询终端数压测，验证网关限流、连接池、队列积压和HIS数据库负载。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上线准入：阻断项关闭，P0稳定运行，回退方案演练，监控告警接入，业务与信息科共同签字。</w:t>
      </w:r>
    </w:p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8.1 建议指标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cantSplit/>
          <w:tblHeader/>
        </w:trPr>
        <w:tc>
          <w:tcPr>
            <w:tcW w:type="dxa" w:w="32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指标</w:t>
            </w:r>
          </w:p>
        </w:tc>
        <w:tc>
          <w:tcPr>
            <w:tcW w:type="dxa" w:w="60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目标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查询接口成功率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不低于99.9%（剔除明确业务拒绝）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写入最终成功率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经自动补偿后不低于99.95%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重复业务写入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患者/机构/人员错配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P95响应时间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普通查询不高于3秒；大病历按联调基线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故障可追踪性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100%请求具备requestId/traceId和状态轨迹</w:t>
            </w:r>
          </w:p>
        </w:tc>
      </w:tr>
    </w:tbl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8.2 验收证据最小集合</w:t>
      </w:r>
    </w:p>
    <w:p>
      <w:pPr>
        <w:keepNext w:val="false"/>
        <w:keepLines w:val="false"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接口至少保留：契约版本或文件哈希、脱敏请求与响应、预期断言、实际结果、requestId/traceId、执行时间、环境、配置版本、执行人、缺陷编号和复测结论。写接口还应提供重复请求、超时未知、重放、回执落库和对账证据；页面跳转类还应提供短票据失效、越权和返回路径测试。</w:t>
      </w:r>
    </w:p>
    <w:p>
      <w:pPr>
        <w:pStyle w:val="Heading1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9. 上线与回退</w:t>
      </w:r>
    </w:p>
    <w:p>
      <w:pPr>
        <w:keepNext w:val="false"/>
        <w:keepLines w:val="false"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上线采用机构/业务域双维度灰度。接口、事件码、交易码、路由、成功码和超时均配置化；每个写入业务均有独立开关。回退时先停新写入，再清空或冻结队列，保留查询能力和完整台账，不删除已生成的回执映射。</w:t>
      </w:r>
    </w:p>
    <w:p>
      <w:pPr>
        <w:keepNext w:val="false"/>
        <w:keepLines w:val="false"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上线后前两周每日核对上传、报告回写、病历回写和异常队列；随后转为自动日报与周度抽查。任何规范变更都先更新契约测试和接口矩阵，再按变更流程发布。</w:t>
      </w:r>
    </w:p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9.1 上线检查与量化回退触发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00"/>
        <w:gridCol w:w="3300"/>
      </w:tblGrid>
      <w:tr>
        <w:trPr>
          <w:cantSplit/>
          <w:tblHeader/>
        </w:trPr>
        <w:tc>
          <w:tcPr>
            <w:tcW w:type="dxa" w:w="18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类别</w:t>
            </w:r>
          </w:p>
        </w:tc>
        <w:tc>
          <w:tcPr>
            <w:tcW w:type="dxa" w:w="41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上线前检查</w:t>
            </w:r>
          </w:p>
        </w:tc>
        <w:tc>
          <w:tcPr>
            <w:tcW w:type="dxa" w:w="33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触发回退/停写条件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数据正确性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患者、机构、人员、申请单和报告抽样100%匹配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发现患者错配、跨机构越权或不可逆错误写入，立即停写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业务成功率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核心写入在试运行窗口达到约定最终成功率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连续15分钟最终成功率低于99%，且补偿无法恢复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性能容量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峰值压测通过，HIS数据库和队列有容量余量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P95连续15分钟超过基线2倍或队列预计2小时无法清空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安全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权限、脱敏、证书、凭证轮换和审计验证通过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出现凭证泄露、未授权访问或敏感日志外泄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可运维性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告警、值班、重放、对账和回退演练完成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关键告警失效、状态不可追踪或无法执行已批准回退步骤</w:t>
            </w:r>
          </w:p>
        </w:tc>
      </w:tr>
    </w:tbl>
    <w:p>
      <w:pPr>
        <w:keepNext w:val="false"/>
        <w:keepLines w:val="false"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实际阈值应在容量测试和业务评审后写入上线检查表；上表未确认的数值仅作为评审起点。回退动作、审批人、执行人和恢复条件必须在变更单中具体到业务域与机构。</w:t>
      </w:r>
    </w:p>
    <w:p>
      <w:pPr>
        <w:pStyle w:val="Heading1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附录A 交付清单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总体方案（本文件）。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接口矩阵（含75项：Excel原74行+规范补充能力1项）、待确认事项、实施计划、数据治理清单和健康档案字段。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联调后补充：正式WSDL/OpenAPI、勘误确认单、字段映射、错误码表、测试报告、上线与回退记录。</w:t>
      </w:r>
    </w:p>
    <w:p>
      <w:pPr>
        <w:pStyle w:val="Heading1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附录B 首轮十个工作日行动清单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700"/>
      </w:tblGrid>
      <w:tr>
        <w:trPr>
          <w:cantSplit/>
          <w:tblHeader/>
        </w:trPr>
        <w:tc>
          <w:tcPr>
            <w:tcW w:type="dxa" w:w="15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时点</w:t>
            </w:r>
          </w:p>
        </w:tc>
        <w:tc>
          <w:tcPr>
            <w:tcW w:type="dxa" w:w="50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行动</w:t>
            </w:r>
          </w:p>
        </w:tc>
        <w:tc>
          <w:tcPr>
            <w:tcW w:type="dxa" w:w="27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输出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D1-D2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确认申请范围、机构清单、责任人和不做项；向平台主管部门提交规范冲突清单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范围基线、责任表、勘误请求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D2-D4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取得并校验测试环境WSDL/OpenAPI、URL、证书链、白名单、账号与限流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环境参数表、连通性证据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D3-D5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准备脱敏患者/就诊/申请单/报告/病历样例与字典映射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样例包、字段映射初稿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D5-D7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完成P0认证、机构、人员和目录的契约测试与最小调用链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测试记录、原始报文摘要、问题单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D8-D10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评审P1范围、容量基线、验收场景和上线窗口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P1任务包、验收基线、更新后的矩阵</w:t>
            </w:r>
          </w:p>
        </w:tc>
      </w:tr>
    </w:tbl>
    <w:p>
      <w:pPr>
        <w:pStyle w:val="Heading1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附录C 文档维护规则</w:t>
      </w:r>
    </w:p>
    <w:p>
      <w:pPr>
        <w:keepNext w:val="false"/>
        <w:keepLines w:val="false"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总体方案描述稳定架构与治理规则；接口矩阵维护逐接口状态、责任和证据；正式契约及样例独立归档并记录版本或哈希。任何范围、交易码、字段必填性、成功码、路由或安全规则变化，均先登记变更，再同步更新契约测试与本方案版本。</w:t>
      </w:r>
    </w:p>
    <w:sectPr>
      <w:footerReference w:type="default" r:id="rId7"/>
      <w:pgSz w:w="11906" w:h="16838" w:orient="portrait"/>
      <w:pgMar w:top="10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21"/>
        <w:szCs w:val="21"/>
      </w:rPr>
      <w:t xml:space="preserve">县级人民医院“基层和健康 V1.0”对接总体方案  | 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icrosoft YaHei" w:cs="Microsoft YaHei" w:eastAsia="Microsoft YaHei" w:hAnsi="Microsoft YaHe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YaHei" w:cs="Microsoft YaHei" w:eastAsia="Microsoft YaHei" w:hAnsi="Microsoft YaHe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2026-09-10T04:02:40.838Z</dcterms:created>
  <dcterms:modified xsi:type="dcterms:W3CDTF">2026-09-10T04:02:40.838Z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