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50"/>
        <w:jc w:val="center"/>
      </w:pPr>
      <w:r>
        <w:rPr>
          <w:rFonts w:ascii="Microsoft YaHei" w:cs="Microsoft YaHei" w:eastAsia="Microsoft YaHei" w:hAnsi="Microsoft YaHei"/>
          <w:b/>
          <w:bCs/>
          <w:color w:val="17365D"/>
          <w:sz w:val="36"/>
          <w:szCs w:val="36"/>
        </w:rPr>
        <w:t xml:space="preserve">县人民医院与基层卫生院</w:t>
      </w:r>
    </w:p>
    <w:p>
      <w:pPr>
        <w:spacing w:after="280"/>
        <w:jc w:val="center"/>
      </w:pPr>
      <w:r>
        <w:rPr>
          <w:rFonts w:ascii="Microsoft YaHei" w:cs="Microsoft YaHei" w:eastAsia="Microsoft YaHei" w:hAnsi="Microsoft YaHei"/>
          <w:b/>
          <w:bCs/>
          <w:color w:val="1F4E78"/>
          <w:sz w:val="44"/>
          <w:szCs w:val="44"/>
        </w:rPr>
        <w:t xml:space="preserve">中间接口平台工程建设规范</w:t>
      </w:r>
    </w:p>
    <w:p>
      <w:pPr>
        <w:spacing w:after="65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单体应用 · 私有化部署 · 两个月完整交付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500"/>
      </w:tblGrid>
      <w:tr>
        <w:trPr>
          <w:cantSplit/>
          <w:tblHeader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文档属性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文档版本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V0.1（内部评审稿）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内部修订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20260910.1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编制日期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2026年9月10日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适用技术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Java 21、Spring Boot 3.5、MyBatis、SQL Server、Vue 3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适用范围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中间接口平台、HIS改造、管理端、嵌入页面、联调、部署及交付</w:t>
            </w:r>
          </w:p>
        </w:tc>
      </w:tr>
    </w:tbl>
    <w:p>
      <w:pPr>
        <w:keepNext w:val="false"/>
        <w:keepLines w:val="false"/>
        <w:spacing w:after="95" w:before="280" w:line="300"/>
        <w:jc w:val="center"/>
      </w:pPr>
      <w:r>
        <w:rPr>
          <w:rFonts w:ascii="Microsoft YaHei" w:cs="Microsoft YaHei" w:eastAsia="Microsoft YaHei" w:hAnsi="Microsoft YaHei"/>
          <w:b/>
          <w:bCs/>
          <w:color w:val="C00000"/>
          <w:sz w:val="17"/>
          <w:szCs w:val="17"/>
        </w:rPr>
        <w:t xml:space="preserve">本规范用于项目实施、代码评审、接口联调、上线和交付验收。</w:t>
      </w:r>
    </w:p>
    <w:p>
      <w:r>
        <w:br w:type="page"/>
      </w:r>
    </w:p>
    <w:p>
      <w:pPr>
        <w:pStyle w:val="Heading1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一、规范目的与适用原则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1.1 规范目的</w:t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本规范用于把项目立项书、业务对接方案和技术方案转化为可执行的工程要求，统一项目结构、命名、接口、数据库、配置、安全、测试、发布和交付方式。项目成员、配合厂商和运维人员应以本规范作为设计评审、代码检查、联调验收和上线移交的共同依据。</w:t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本规范不替代业务需求、正式接口文件或双方书面确认。遇到材料不一致时，按“已批准的项目范围、双方书面确认、正式接口文件、本规范、其他参考材料”的顺序执行，并在问题台账中保留处理结论。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1.2 项目边界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平台只服务于县人民医院与所辖基层卫生院之间的双向协同，不增加第三个业务层级。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平台负责统一接入、身份验证、数据检查、格式转换、状态反馈、失败处理、运行记录、对账和管理，不替代HIS、电子病历、LIS、PACS或基层业务系统办理诊疗业务。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平台不得成为双方业务数据库的复制品，只保存接口运行、问题处理、追溯和审计所必需的数据。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基层卫生院之间不通过本平台进行横向数据共享；任何系统不得绕过统一接口直接访问另一方业务数据库。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现有75项业务能力是总体范围基线。接口启用范围、调用方向、字段、地址、权限或验收规则不明确时，一律列为P0事项，在第1至2周取得书面结论。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1.3 规范用语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500"/>
      </w:tblGrid>
      <w:tr>
        <w:trPr>
          <w:cantSplit/>
          <w:tblHeader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用语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执行含义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必须 / 不得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强制要求，不满足不得合并代码、进入联调或发布上线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应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原则上必须执行；确需偏离时，应记录原因、影响和批准人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可以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可选做法，不作为验收的强制条件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P0事项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会影响范围、接口实现、数据安全或两个月完整交付的待确认事项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完成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已实现、已测试、已留存证据，并由规定责任人确认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接口条件不具备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缺少正式文件、脱敏样例、网络、凭证或责任人，暂不得开展具体适配</w:t>
            </w:r>
          </w:p>
        </w:tc>
      </w:tr>
    </w:tbl>
    <w:p>
      <w:pPr>
        <w:keepNext w:val="false"/>
        <w:keepLines w:val="false"/>
        <w:spacing w:after="45" w:before="0" w:line="1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/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页面能够打开、接口单次返回成功或开发人员口头确认，均不能单独作为“完成”依据。</w:t>
      </w:r>
    </w:p>
    <w:p>
      <w:pPr>
        <w:pStyle w:val="Heading1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二、总体技术与工程原则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2.1 技术基线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600"/>
      </w:tblGrid>
      <w:tr>
        <w:trPr>
          <w:cantSplit/>
          <w:tblHeader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层次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建设基线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主要约束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后台服务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Java 21、Spring Boot 3.5、MyBatis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建设一个可独立部署的单体应用，按业务能力划分模块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数据库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Microsoft SQL Server 2019/2022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使用独立平台数据库和独立账号，不在HIS业务库内建平台表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管理端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Vue 3、TypeScript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用于机构、接口、映射、交换记录、异常、告警和配置管理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嵌入页面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Vue页面或网页组件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适配HIS及基层工作站浏览器环境，服务端进行最终权限判断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接口合同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OpenAPI 3.x、正式接口说明及字段映射表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合同、实现、测试和交付文档保持一致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数据库变更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版本化SQL脚本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测试和生产执行同一份脚本，不允许人工直接改表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构建交付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Maven、Node.js、版本化安装包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测试和生产使用同一批次、可校验的交付制品</w:t>
            </w:r>
          </w:p>
        </w:tc>
      </w:tr>
    </w:tbl>
    <w:p>
      <w:pPr>
        <w:keepNext w:val="false"/>
        <w:keepLines w:val="false"/>
        <w:spacing w:after="45" w:before="0" w:line="1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/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Spring Boot 4不作为首期默认版本。待相关组件、应用服务器和医院运行环境完成兼容验证后，可通过正式升级评审另行实施，不在开发过程中直接更换主版本。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2.2 建设原则</w:t>
      </w:r>
    </w:p>
    <w:p>
      <w:pPr>
        <w:spacing w:after="60" w:line="290"/>
        <w:ind w:left="440" w:hanging="2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1. 单体部署、模块分明：一个后台应用统一部署，代码按业务能力分包，禁止所有逻辑堆积在控制器或通用工具类中。</w:t>
      </w:r>
    </w:p>
    <w:p>
      <w:pPr>
        <w:spacing w:after="60" w:line="290"/>
        <w:ind w:left="440" w:hanging="2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2. 接口确认后开发：没有正式字段、样例、调用规则和责任人的接口，不猜字段、不做替代实现、不宣称联调完成。</w:t>
      </w:r>
    </w:p>
    <w:p>
      <w:pPr>
        <w:spacing w:after="60" w:line="290"/>
        <w:ind w:left="440" w:hanging="2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3. 来源可以追查：每笔交换记录能够定位到机构、源系统、源业务单号、接口、处理时间、处理结果和错误原因。</w:t>
      </w:r>
    </w:p>
    <w:p>
      <w:pPr>
        <w:spacing w:after="60" w:line="290"/>
        <w:ind w:left="440" w:hanging="2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4. 重复调用结果可控：网络重试、用户重复提交或服务重启不得造成重复收费、重复登记或重复写入。</w:t>
      </w:r>
    </w:p>
    <w:p>
      <w:pPr>
        <w:spacing w:after="60" w:line="290"/>
        <w:ind w:left="440" w:hanging="2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5. 权限默认收紧：用户、系统和基层机构只能访问完成授权的数据；前端隐藏按钮不等于完成权限控制。</w:t>
      </w:r>
    </w:p>
    <w:p>
      <w:pPr>
        <w:spacing w:after="60" w:line="290"/>
        <w:ind w:left="440" w:hanging="2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6. 环境相互隔离：开发、测试、联调和生产配置分开，生产数据和凭证不得复制到普通开发环境。</w:t>
      </w:r>
    </w:p>
    <w:p>
      <w:pPr>
        <w:spacing w:after="60" w:line="290"/>
        <w:ind w:left="440" w:hanging="2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7. 交付以证据为准：代码、配置、数据库脚本、测试记录、部署记录和验收结果必须能够相互对应。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2.3 重要决策记录</w:t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出现以下情况时，应在docs/decisions/DEC-&lt;四位序号&gt;-&lt;简短名称&gt;.md形成工程决策记录：更换核心技术版本、改变数据库或部署方式、直接读取HIS视图、增加对外访问入口、改变患者匹配规则、引入新的基础组件、实施不可直接回退的数据库变更。记录至少包括背景、决定、影响、风险、恢复方法和批准人。</w:t>
      </w:r>
    </w:p>
    <w:p>
      <w:pPr>
        <w:pStyle w:val="Heading1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三、工程结构与职责边界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3.1 建议仓库结构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county-integration-platform/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|-- backend/                         Spring Boot后台应用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   |-- pom.xml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   `-- src/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       |-- main/java/&lt;基础包&gt;/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       |   |-- bootstrap/           启动与装配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       |   |-- organization/        机构、人员、科室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       |   |-- patient/             患者标识与对应关系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       |   |-- catalog/             目录和编码对应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       |   |-- interfaceconfig/     接口登记与配置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       |   |-- exchange/            接收、发送、状态和再次处理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       |   |-- reconciliation/      对账与差异处理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       |   |-- alert/               告警与问题处置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       |   |-- access/              用户、角色和机构权限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       |   `-- audit/               查询、导出和变更审计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       |-- main/resources/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       |   |-- mapper/              MyBatis XML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       |   |-- db/migration/        SQL Server变更脚本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       |   `-- application.yml      非敏感默认配置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       `-- test/                    单元和集成测试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|-- web-admin/                       管理端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|-- web-embed/                       嵌入页面或组件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|-- contracts/                       OpenAPI、字段映射和脱敏样例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|-- deploy/                          私有化部署、备份和运行手册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|-- docs/                            设计、决策、联调和验收资料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|-- tools/                           构建、检查和部署辅助脚本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`-- README.md</w:t>
      </w:r>
    </w:p>
    <w:p>
      <w:pPr>
        <w:keepNext w:val="false"/>
        <w:keepLines w:val="false"/>
        <w:spacing w:after="45" w:before="0" w:line="1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/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目录应在有实际内容时创建。不得使用temp、misc、other等无法说明职责的顶层目录；common或utils只允许存放经过评审、确实被多个模块稳定复用且不包含业务规则的代码。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3.2 后台模块内部结构</w:t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每个业务模块统一采用以下结构，不要求为两个月项目引入复杂的分布式设计：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&lt;module&gt;/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|-- controller/      接口参数接收、校验和响应转换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|-- service/         业务流程编排和事务范围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|-- model/           本模块的数据对象和业务状态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|-- repository/      数据访问接口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|-- mapper/          MyBatis数据访问实现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|-- client/          经批准的外部系统调用</w:t>
      </w:r>
    </w:p>
    <w:p>
      <w:pPr>
        <w:shd w:fill="F4F6F7" w:color="auto" w:val="clear"/>
        <w:spacing w:after="10" w:line="230"/>
        <w:ind w:left="2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`-- support/         本模块内部辅助能力</w:t>
      </w:r>
    </w:p>
    <w:p>
      <w:pPr>
        <w:keepNext w:val="false"/>
        <w:keepLines w:val="false"/>
        <w:spacing w:after="45" w:before="0" w:line="1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controller不得直接调用MyBatis Mapper，不得编写SQL或核心业务判断。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一个数据库表只由一个业务模块负责写入；其他模块通过该模块的服务访问。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外部系统调用集中在对应模块的client中，不得散落在定时任务、页面控制器或工具类中。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HIS、基层系统、LIS、PACS等厂商差异应由接口配置、字段映射或独立适配类处理，不得污染所有业务代码。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公共异常、响应格式、安全上下文和时间处理可以集中管理，具体业务状态不得放入全局公共包。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3.3 页面职责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管理端按机构与权限、接口与映射、交换记录、异常与再次处理、对账、告警、审计划分功能。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嵌入页面只提供约定的业务入口或结果查看，不长期保存患者敏感数据和访问凭证。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页面请求必须携带可校验的登录身份、机构和用途信息；服务端重新判断权限。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首次加载、处理中、成功、失败、空数据、无权限、目标系统不可用等状态必须有明确显示。</w:t>
      </w:r>
    </w:p>
    <w:p>
      <w:pPr>
        <w:pStyle w:val="Heading1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四、命名与代码规范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4.1 通用命名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600"/>
      </w:tblGrid>
      <w:tr>
        <w:trPr>
          <w:cantSplit/>
          <w:tblHeader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对象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规范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示例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Java基础包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全小写、使用组织域名倒序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cn.example.health.integration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Java类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PascalCase，名称表达职责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ExchangeRecordService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方法和变量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camelCase，使用动词或有意义名词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retryFailedExchange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常量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全大写，下划线分隔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MAX_RETRY_COUNT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REST路径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小写、复数名词、短横线分隔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/api/v1/exchange-records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JSON字段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camelCase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sourceRecordId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数据库对象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小写、下划线分隔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exchange_record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Vue组件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PascalCase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ExchangeDetailDrawer.vue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前端组合函数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use开头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useExchangeRecords.ts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配置键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小写、短横线层级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integration.retry.max-count</w:t>
            </w:r>
          </w:p>
        </w:tc>
      </w:tr>
    </w:tbl>
    <w:p>
      <w:pPr>
        <w:keepNext w:val="false"/>
        <w:keepLines w:val="false"/>
        <w:spacing w:after="45" w:before="0" w:line="1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/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集合名称使用复数；布尔值以is、has、can或should开头；时间字段写清语义，如businessOccurredAt、receivedAt、processedAt。禁止使用data1、temp2、obj、handleData等无法判断含义的名称。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4.2 统一业务术语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500"/>
      </w:tblGrid>
      <w:tr>
        <w:trPr>
          <w:cantSplit/>
          <w:tblHeader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中文含义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代码名称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机构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organization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基层卫生院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primaryHealthCenter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源系统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sourceSystem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患者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patient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源业务记录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sourceRecord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接口定义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interfaceDefinition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交换记录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exchangeRecord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交换批次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exchangeBatch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字段映射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fieldMapping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编码对应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codeMapping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对账任务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reconciliationTask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人工处理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manualHandling</w:t>
            </w:r>
          </w:p>
        </w:tc>
      </w:tr>
    </w:tbl>
    <w:p>
      <w:pPr>
        <w:keepNext w:val="false"/>
        <w:keepLines w:val="false"/>
        <w:spacing w:after="45" w:before="0" w:line="1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/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同一概念不得在不同模块混用多组英文名称。接口文件确认的行业术语优先；新增术语应同步维护术语表。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4.3 Java与MyBatis约束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Controller统一使用请求对象和响应对象，不直接暴露数据库实体。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Service明确事务范围；外部HTTP调用不得长期占用数据库事务。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MyBatis SQL必须参数化，禁止拼接用户输入；动态排序字段采用白名单。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查询必须限定必要字段，禁止生产代码无条件SELECT *。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列表查询必须分页；大批量处理采用分批读取，单批大小通过测试确认。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异常不得静默忽略。业务失败、外部系统失败、数据校验失败应使用不同错误类型和可理解的错误信息。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日期时间统一使用明确时区。平台记录时间以医院确定的统一时区保存和展示，对外接口按合同转换。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不在代码中固定机构编码、接口地址、账号、密钥、患者规则或厂商环境差异。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4.4 Git与评审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分支使用feature/&lt;编号&gt;-&lt;说明&gt;、fix/&lt;编号&gt;-&lt;说明&gt;、docs/&lt;编号&gt;-&lt;说明&gt;。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提交使用feat:、fix:、docs:、test:、refactor:、chore:前缀，一个提交围绕一个可评审目的。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核心接口、患者对应、权限、数据库和再次处理逻辑必须由另一名开发人员复核。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不得提交生产数据、账号密码、证书私钥、个人编辑器文件、临时导出和无法说明来源的二进制文件。</w:t>
      </w:r>
    </w:p>
    <w:p>
      <w:pPr>
        <w:pStyle w:val="Heading1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五、接口与数据规范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5.1 接口准入</w:t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每项接口进入开发前必须具备：</w:t>
      </w:r>
    </w:p>
    <w:p>
      <w:pPr>
        <w:spacing w:after="60" w:line="290"/>
        <w:ind w:left="440" w:hanging="2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1. 正式接口说明和启用范围；</w:t>
      </w:r>
    </w:p>
    <w:p>
      <w:pPr>
        <w:spacing w:after="60" w:line="290"/>
        <w:ind w:left="440" w:hanging="2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2. 调用方、提供方、业务负责人、技术负责人和验收负责人；</w:t>
      </w:r>
    </w:p>
    <w:p>
      <w:pPr>
        <w:spacing w:after="60" w:line="290"/>
        <w:ind w:left="440" w:hanging="2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3. 测试地址、生产地址申请方式、网络路径和身份验证方式；</w:t>
      </w:r>
    </w:p>
    <w:p>
      <w:pPr>
        <w:spacing w:after="60" w:line="290"/>
        <w:ind w:left="440" w:hanging="2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4. 请求字段、响应字段、值域、必填规则、时间和金额单位；</w:t>
      </w:r>
    </w:p>
    <w:p>
      <w:pPr>
        <w:spacing w:after="60" w:line="290"/>
        <w:ind w:left="440" w:hanging="2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5. 真实脱敏样例及预期结果；</w:t>
      </w:r>
    </w:p>
    <w:p>
      <w:pPr>
        <w:spacing w:after="60" w:line="290"/>
        <w:ind w:left="440" w:hanging="2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6. 超时、重复、失败、再次处理、撤销和查询规则；</w:t>
      </w:r>
    </w:p>
    <w:p>
      <w:pPr>
        <w:spacing w:after="60" w:line="290"/>
        <w:ind w:left="440" w:hanging="2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7. 业务闭环场景和验收证据。</w:t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缺少关键条件时，接口台账状态标记为“接口条件不具备”，由项目对接人员纳入P0日跟踪，不得依据猜测开始厂商适配。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5.2 接口台账与状态</w:t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接口按“业务领域 + 调用方向 + 交易码或接口编号 + 版本”唯一登记。台账至少记录接口名称、双方系统、方向、是否启用、正式版本、负责人、环境、凭证状态、样例状态、开发状态、联调状态、验收结果和遗留问题。</w:t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统一状态为：待确认、条件不具备、可开发、开发中、待联调、联调中、待验收、已通过、已停用。状态变化必须记录时间、操作人和依据。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5.3 统一请求与响应信息</w:t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在不改变外部正式合同的前提下，平台内部每笔调用至少关联：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500"/>
      </w:tblGrid>
      <w:tr>
        <w:trPr>
          <w:cantSplit/>
          <w:tblHeader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信息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用途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requestId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标识一次调用，便于查询日志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traceId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串联基层、平台和县医院的完整处理过程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interfaceCode、interfaceVersion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标识接口及其版本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sourceSystemCode、targetSystemCode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标识数据来源和去向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organizationCode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限定业务所属机构和权限范围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sourceRecordId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标识源业务记录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idempotencyKey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判断是否为同一笔重复请求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occurredAt、receivedAt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区分业务发生时间和平台接收时间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resultCode、resultMessage</w:t>
            </w:r>
          </w:p>
        </w:tc>
        <w:tc>
          <w:tcPr>
            <w:tcW w:type="dxa" w:w="6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返回稳定结果码和可理解说明</w:t>
            </w:r>
          </w:p>
        </w:tc>
      </w:tr>
    </w:tbl>
    <w:p>
      <w:pPr>
        <w:keepNext w:val="false"/>
        <w:keepLines w:val="false"/>
        <w:spacing w:after="45" w:before="0" w:line="1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/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HTTP状态表示通信处理结果，业务结果由稳定的业务结果码表达。不得只返回“成功/失败”而不提供可定位的编号；不得把程序异常堆栈直接返回给页面或外部系统。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5.4 防重复、再次处理与对账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写入类接口必须定义防重复键及有效范围。同一防重复键重复到达时，应返回第一次的明确结果，不得再次执行有效写入。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对网络超时等“结果未知”情况，必须先查询目标系统或执行对账，不得直接重复提交。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自动再次处理只用于已确认可以安全重试的错误，并限制次数和间隔；超过限制转人工处理。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人工再次处理必须记录操作人、原因、原请求、前次结果和本次结果。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每项核心业务应具备按日期、机构、接口和业务单号对账的能力，能够区分未发送、发送失败、结果未知、双方不一致和已完成。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5.5 SQL Server规范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平台使用独立数据库、独立账号、独立备份和维护计划；默认禁止平台账号修改HIS业务表。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数据库对象使用snake_case。在独立平台库中按领域使用前缀，如sys_、intf_、map_、exch_、recon_、audit_。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内部主键优先使用bigint identity；跨系统业务编号单独建唯一约束，不以姓名、身份证号或手机号作为主键。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时间点使用datetime2(3)；金额和计量值使用明确精度的decimal(p,s)；文本长度按正式合同确定，禁止无理由全部使用nvarchar(max)。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需要并发更新的配置和任务表使用rowversion或等效校验，防止后提交的数据无提示覆盖先提交的数据。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索引以真实查询、对账和清理场景为依据；高频表必须包含机构、接口、状态、业务时间等常用查询条件的验证记录。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患者敏感字段按医院安全要求加密或信息隐藏；日志表不保存完整请求响应正文，确需留存的报文应受控保存并设置期限。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变更脚本命名为V&lt;序号&gt;__&lt;动作&gt;_&lt;对象&gt;.sql。已进入共享环境的脚本不得修改，修复必须新增脚本。</w:t>
      </w:r>
    </w:p>
    <w:p>
      <w:pPr>
        <w:pStyle w:val="Heading1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六、安全、配置与运行记录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6.1 权限与数据保护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权限至少区分用户、角色、所属机构、功能、接口、数据范围和操作类型。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基层卫生院默认只能访问本机构获准数据；跨机构查询、导出、再次处理和配置发布应单独授权并审计。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接口账号按系统和环境分别设置，测试凭证不得用于生产，离职或合作结束后及时停用。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密码、Token和证书私钥不得写入代码、普通配置文件、数据库明文字段、前端包或日志。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非生产环境原则上使用脱敏数据；确需使用生产数据时，应取得审批并落实访问、期限和清理要求。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嵌入页面使用短时、一次性或可撤销的登录凭据，不在URL中传递患者敏感信息和长期凭证。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6.2 配置管理</w:t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配置分为三类：非敏感默认配置随代码管理；环境配置由部署目录或配置管理工具维护；密码和证书只保存安全引用，实际值由医院指定方式保管。配置变更必须记录变更内容、原因、申请人、复核人、生效时间和恢复值。</w:t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生产环境不得使用latest、开发分支配置或无法确定内容的安装包。接口地址、超时、再次处理次数等配置必须设定合理范围，防止错误配置影响HIS或基层系统。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6.3 日志、审计与告警</w:t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运行日志至少包含时间、级别、应用、环境、事件、requestId、traceId、机构、接口和结果。不得记录密码、Token、Cookie、完整身份证号、完整手机号、患者姓名与证件号组合、未脱敏报文和程序连接密码。</w:t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以下操作必须审计：登录失败、敏感查询、导出、人工再次处理、映射变更、接口启停、权限调整、生产配置变更和运维操作。审计记录不得由普通业务用户修改或删除。</w:t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至少对服务不可用、接口连续失败、凭证失效、待处理积压、对账差异、数据库空间不足、备份失败和异常访问进行告警。每个告警应明确影响、责任人、处理步骤和恢复条件。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6.4 私有化部署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开发、测试、联调、生产环境的地址、账号、数据库和日志相互隔离。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应用、数据库、管理页面和日志部署在医院指定机房或私有云；外部远程访问需经审批并留痕。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平台可与HIS复用SQL Server服务器，但必须使用独立数据库和账号，并验证连接数、批处理和备份不会影响HIS。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部署前明确服务器、端口、域名或地址、证书、时间同步、防火墙、备份目录、监控和值守联系人。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数据库、配置和必要文件按医院制度备份；上线前至少完成一次可复核的恢复验证。</w:t>
      </w:r>
    </w:p>
    <w:p>
      <w:pPr>
        <w:pStyle w:val="Heading1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七、开发、测试与发布规范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7.1 工作项进入开发的条件</w:t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每个工作项开始前应明确目标、范围外内容、责任人、受影响系统、接口版本、数据样例、权限要求、失败处理和验收方法。涉及外部接口且条件不具备的，不进入功能开发；可以先完成与具体字段无关的平台公共能力。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7.2 测试层级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600"/>
      </w:tblGrid>
      <w:tr>
        <w:trPr>
          <w:cantSplit/>
          <w:tblHeader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测试层级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验证内容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必要证据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单元测试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参数检查、转换规则、防重复键、状态变化和权限判断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与代码同时提交的测试结果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接口合同测试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字段、类型、必填、值域、身份验证和结果码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正式版本、脱敏样例和双方结果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数据库集成测试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SQL Server脚本、事务、并发、索引和数据清理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可重复环境和执行记录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完整过程测试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基层发起、平台处理、县医院办理、结果返回和审计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业务单号、页面、接口、数据库和日志相互对应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异常测试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重复、超时、断网、目标系统不可用、服务重启和结果未知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再次处理、对账或人工处置记录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安全与性能测试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越权、敏感信息、接口并发、批处理和资源使用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测试条件、数据规模、结果和问题关闭记录</w:t>
            </w:r>
          </w:p>
        </w:tc>
      </w:tr>
    </w:tbl>
    <w:p>
      <w:pPr>
        <w:keepNext w:val="false"/>
        <w:keepLines w:val="false"/>
        <w:spacing w:after="45" w:before="0" w:line="1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/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模拟数据可以用于代码分支测试，但不得替代正式脱敏样例、真实组件集成或双方联调证据。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7.3 自动检查与合并条件</w:t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项目应建立统一命令完成格式检查、编译、单元测试、接口合同检查、数据库脚本检查、前后端构建和敏感信息扫描。具体命令以仓库README.md为准；只有脚本已提交且实际运行通过后，才能说明自动检查已经建立。</w:t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代码合并前必须满足：需求和P0结论明确；实现符合模块边界；测试通过；接口、数据库、配置和文档同步更新；无明文凭证和可识别患者数据；另一名开发人员完成复核。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7.4 版本与发布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项目交付版本采用v主版本.次版本.修订版本。不兼容的接口或数据变更升级主版本，向后兼容的新能力升级次版本，兼容性修复升级修订版本。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文档内部修订使用YYYYMMDD.N，同一天从.1顺序增加。内部修订不替代正式交付版本。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接口合同、字段映射、数据库脚本、配置、应用包和前端包分别记录版本或校验值，发布清单建立对应关系。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生产发布必须使用经过测试的同一批次制品，记录发布时间、操作人、版本、数据库脚本、配置、验证结果和恢复目标。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发布前形成备份和恢复步骤；出现患者错配、越权、敏感信息泄露、重复写入或结果无法确认时，立即停止相关写入并恢复原业务流程。</w:t>
      </w:r>
    </w:p>
    <w:p>
      <w:pPr>
        <w:pStyle w:val="Heading1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八、两个月执行与交付要求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8.1 人员与责任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600"/>
      </w:tblGrid>
      <w:tr>
        <w:trPr>
          <w:cantSplit/>
          <w:tblHeader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工作组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人数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工程责任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县人民医院HIS改造组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2人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HIS核心业务、数据服务或受控视图、页面入口、结果回写及联调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中间接口平台组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2人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后台、管理端、嵌入页面、接口适配、数据库、部署和技术资料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项目对接与协调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1人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范围、P0、计划、跨方协调、问题台账、培训和验收材料</w:t>
            </w:r>
          </w:p>
        </w:tc>
      </w:tr>
    </w:tbl>
    <w:p>
      <w:pPr>
        <w:keepNext w:val="false"/>
        <w:keepLines w:val="false"/>
        <w:spacing w:after="45" w:before="0" w:line="1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/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HIS组和平台组各明确一名主责和一名备份。基层卫生院、电子病历、LIS、PACS、网络安全和接口提供方分别指定固定联系人。每项任务只设置一个执行责任方和一个验收责任方。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8.2 八周工程控制点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600"/>
      </w:tblGrid>
      <w:tr>
        <w:trPr>
          <w:cantSplit/>
          <w:tblHeader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周期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工程控制点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必须形成的证据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第1周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冻结范围、建立接口台账、登记全部P0、确定工程结构和环境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范围基线、P0清单、责任表、仓库和环境记录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第2周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关闭P0，确认合同、样例、网络、凭证、患者和基础信息规则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书面结论、脱敏样例、连通记录、字段与编码表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第2至3周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建立单体应用、平台数据库、权限、管理端和部署基线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可运行基础版本、数据库脚本、构建与部署记录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第3至6周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按业务领域并行完成接口、HIS改造、页面和联调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接口完成清单、代码评审、联调和问题关闭记录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第6至7周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完成完整过程、异常、对账、安全、性能和恢复测试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测试报告、对账记录、安全检查和恢复验证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第7至8周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试运行、上线、培训、资料移交和终验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试运行记录、发布清单、培训记录和验收报告</w:t>
            </w:r>
          </w:p>
        </w:tc>
      </w:tr>
    </w:tbl>
    <w:p>
      <w:pPr>
        <w:keepNext w:val="false"/>
        <w:keepLines w:val="false"/>
        <w:spacing w:after="45" w:before="0" w:line="1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/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8.3 完成定义</w:t>
      </w:r>
    </w:p>
    <w:p>
      <w:pPr>
        <w:keepNext w:val="false"/>
        <w:keepLines w:val="false"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一项接口或功能只有同时满足以下条件才计为完成：</w:t>
      </w:r>
    </w:p>
    <w:p>
      <w:pPr>
        <w:spacing w:after="60" w:line="290"/>
        <w:ind w:left="440" w:hanging="2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1. 范围、合同、责任人和验收场景已经确认；</w:t>
      </w:r>
    </w:p>
    <w:p>
      <w:pPr>
        <w:spacing w:after="60" w:line="290"/>
        <w:ind w:left="440" w:hanging="2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2. 代码、配置、字段映射和数据库脚本已纳入版本管理；</w:t>
      </w:r>
    </w:p>
    <w:p>
      <w:pPr>
        <w:spacing w:after="60" w:line="290"/>
        <w:ind w:left="440" w:hanging="2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3. 正常、重复、失败、超时、结果未知和权限场景已验证；</w:t>
      </w:r>
    </w:p>
    <w:p>
      <w:pPr>
        <w:spacing w:after="60" w:line="290"/>
        <w:ind w:left="440" w:hanging="2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4. 能够按机构、接口和业务单号查询全过程并完成对账；</w:t>
      </w:r>
    </w:p>
    <w:p>
      <w:pPr>
        <w:spacing w:after="60" w:line="290"/>
        <w:ind w:left="440" w:hanging="2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5. 日志、审计和告警能够定位问题且不泄露敏感信息；</w:t>
      </w:r>
    </w:p>
    <w:p>
      <w:pPr>
        <w:spacing w:after="60" w:line="290"/>
        <w:ind w:left="440" w:hanging="2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6. 双方使用正式脱敏样例或获批真实业务场景完成联调；</w:t>
      </w:r>
    </w:p>
    <w:p>
      <w:pPr>
        <w:spacing w:after="60" w:line="290"/>
        <w:ind w:left="440" w:hanging="2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7. 评审、测试、部署和验收证据已归档；</w:t>
      </w:r>
    </w:p>
    <w:p>
      <w:pPr>
        <w:spacing w:after="60" w:line="290"/>
        <w:ind w:left="440" w:hanging="26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8. 恢复原流程或通过后续版本修复的措施明确。</w:t>
      </w:r>
    </w:p>
    <w:p>
      <w:pPr>
        <w:pStyle w:val="Heading2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8.4 上线不可放宽项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不得存在患者或机构错误对应。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不得存在未授权跨机构访问、敏感数据泄露或明文凭证。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写入结果不明确时不得直接重复写入。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立项范围内接口未完成业务完整过程验证时不得按完成验收。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数据库备份、恢复、监控和问题联系人未验证时不得上线。</w:t>
      </w:r>
    </w:p>
    <w:p>
      <w:pPr>
        <w:pStyle w:val="ListParagraph"/>
        <w:numPr>
          <w:ilvl w:val="0"/>
          <w:numId w:val="2"/>
        </w:numPr>
        <w:spacing w:after="55" w:line="29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接口条件不具备的事项必须由项目负责人取得正式处理结论，不得以备注代替解决。</w:t>
      </w:r>
    </w:p>
    <w:p>
      <w:pPr>
        <w:pStyle w:val="Heading1"/>
        <w:keepNext/>
        <w:keepLines/>
        <w:spacing w:after="95" w:before="0" w:line="300"/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附录：评审快速检查表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cantSplit/>
        </w:trPr>
        <w:tc>
          <w:tcPr>
            <w:tcW w:type="dxa" w:w="4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□ 建设内容是否仍限定为县人民医院与所辖基层卫生院之间的协同？</w:t>
            </w:r>
          </w:p>
        </w:tc>
        <w:tc>
          <w:tcPr>
            <w:tcW w:type="dxa" w:w="4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□ 是否由服务端完成机构、角色和数据范围权限判断，并避免保存明文凭证或完整敏感信息？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□ 接口是否具备正式文件、脱敏样例、网络、凭证和责任人？</w:t>
            </w:r>
          </w:p>
        </w:tc>
        <w:tc>
          <w:tcPr>
            <w:tcW w:type="dxa" w:w="4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□ 平台数据库是否与HIS业务库隔离，数据库脚本是否可重复执行？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□ 是否明确数据来源、调用方向、业务单号和接口版本？</w:t>
            </w:r>
          </w:p>
        </w:tc>
        <w:tc>
          <w:tcPr>
            <w:tcW w:type="dxa" w:w="4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□ 代码、接口、映射、配置、数据库、测试和发布版本是否对应，并完成关键代码复核？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□ 是否验证重复、超时、结果未知、再次处理和对账？</w:t>
            </w:r>
          </w:p>
        </w:tc>
        <w:tc>
          <w:tcPr>
            <w:tcW w:type="dxa" w:w="4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line="245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□ 是否有可复核的测试、部署、恢复和验收记录？</w:t>
            </w:r>
          </w:p>
        </w:tc>
      </w:tr>
    </w:tbl>
    <w:p>
      <w:pPr>
        <w:spacing w:after="0" w:before="0" w:line="20"/>
      </w:pPr>
      <w:r>
        <w:rPr>
          <w:rFonts w:ascii="Microsoft YaHei" w:cs="Microsoft YaHei" w:eastAsia="Microsoft YaHei" w:hAnsi="Microsoft YaHei"/>
          <w:sz w:val="2"/>
          <w:szCs w:val="2"/>
        </w:rPr>
        <w:t xml:space="preserve"/>
      </w:r>
    </w:p>
    <w:sectPr>
      <w:footerReference w:type="default" r:id="rId7"/>
      <w:pgSz w:w="11906" w:h="16838" w:orient="portrait"/>
      <w:pgMar w:top="900" w:right="950" w:bottom="900" w:left="950" w:header="4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5"/>
        <w:szCs w:val="15"/>
      </w:rPr>
      <w:t xml:space="preserve">县人民医院与基层卫生院中间接口平台工程建设规范  |</w:t>
    </w:r>
    <w:r>
      <w:rPr>
        <w:rFonts w:ascii="Microsoft YaHei" w:cs="Microsoft YaHei" w:eastAsia="Microsoft YaHei" w:hAnsi="Microsoft YaHei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220"/>
      </w:pPr>
      <w:rPr>
        <w:rFonts w:ascii="Microsoft YaHei" w:cs="Microsoft YaHei" w:eastAsia="Microsoft YaHei" w:hAnsi="Microsoft YaHei"/>
        <w:color w:val="1F4E7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  <w:rPr>
        <w:rFonts w:ascii="Microsoft YaHei" w:cs="Microsoft YaHei" w:eastAsia="Microsoft YaHei" w:hAnsi="Microsoft YaHe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22222"/>
        <w:sz w:val="19"/>
        <w:szCs w:val="19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Microsoft YaHei" w:cs="Microsoft YaHei" w:eastAsia="Microsoft YaHei" w:hAnsi="Microsoft Ya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5" w:before="150"/>
      <w:outlineLvl w:val="1"/>
    </w:pPr>
    <w:rPr>
      <w:rFonts w:ascii="Microsoft YaHei" w:cs="Microsoft YaHei" w:eastAsia="Microsoft YaHei" w:hAnsi="Microsoft YaHei"/>
      <w:b/>
      <w:bCs/>
      <w:color w:val="1F4E78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县人民医院与基层卫生院中间接口平台工程建设规范</dc:title>
  <dc:creator>Codex</dc:creator>
  <dc:description>县人民医院与所辖基层卫生院中间接口平台工程实施与交付规范</dc:description>
  <cp:lastModifiedBy>Un-named</cp:lastModifiedBy>
  <cp:revision>1</cp:revision>
  <dcterms:created xsi:type="dcterms:W3CDTF">2026-09-10T10:42:43.893Z</dcterms:created>
  <dcterms:modified xsi:type="dcterms:W3CDTF">2026-09-10T10:42:43.894Z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