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454" w:type="dxa"/>
        <w:tblInd w:w="0" w:type="dxa"/>
        <w:tblBorders>
          <w:top w:val="single" w:color="E5E7EB" w:sz="4" w:space="0"/>
          <w:left w:val="single" w:color="E5E7EB" w:sz="4" w:space="0"/>
          <w:bottom w:val="single" w:color="E5E7EB" w:sz="4" w:space="0"/>
          <w:right w:val="single" w:color="E5E7EB" w:sz="4" w:space="0"/>
          <w:insideH w:val="single" w:color="E5E7EB" w:sz="4" w:space="0"/>
          <w:insideV w:val="single" w:color="E5E7EB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117"/>
        <w:gridCol w:w="1337"/>
      </w:tblGrid>
      <w:tr w14:paraId="7618A3B7">
        <w:tblPrEx>
          <w:tblBorders>
            <w:top w:val="single" w:color="E5E7EB" w:sz="4" w:space="0"/>
            <w:left w:val="single" w:color="E5E7EB" w:sz="4" w:space="0"/>
            <w:bottom w:val="single" w:color="E5E7EB" w:sz="4" w:space="0"/>
            <w:right w:val="single" w:color="E5E7EB" w:sz="4" w:space="0"/>
            <w:insideH w:val="single" w:color="E5E7EB" w:sz="4" w:space="0"/>
            <w:insideV w:val="single" w:color="E5E7EB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8" w:hRule="atLeast"/>
        </w:trPr>
        <w:tc>
          <w:tcPr>
            <w:tcW w:w="9117" w:type="dxa"/>
            <w:tcBorders>
              <w:top w:val="nil"/>
              <w:left w:val="nil"/>
            </w:tcBorders>
            <w:vAlign w:val="center"/>
          </w:tcPr>
          <w:p w14:paraId="160A99E7">
            <w:pPr>
              <w:spacing w:before="0" w:after="0" w:line="189" w:lineRule="auto"/>
              <w:ind w:left="4522"/>
              <w:jc w:val="both"/>
              <w:rPr>
                <w:rFonts w:ascii="微软雅黑" w:hAnsi="微软雅黑" w:eastAsia="微软雅黑" w:cs="微软雅黑"/>
                <w:sz w:val="47"/>
                <w:szCs w:val="47"/>
              </w:rPr>
            </w:pPr>
            <w:r>
              <w:rPr>
                <w:rFonts w:ascii="微软雅黑" w:hAnsi="微软雅黑" w:eastAsia="微软雅黑"/>
                <w:b/>
                <w:sz w:val="52"/>
              </w:rPr>
              <w:t>郑富</w:t>
            </w:r>
          </w:p>
          <w:p w14:paraId="5D4116DC">
            <w:pPr>
              <w:spacing w:before="0" w:after="0" w:line="304" w:lineRule="auto"/>
              <w:ind w:left="3448" w:right="1445" w:hanging="653"/>
              <w:jc w:val="center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/>
                <w:b w:val="0"/>
                <w:sz w:val="22"/>
              </w:rPr>
              <w:t>手机号  |  邮箱</w:t>
            </w:r>
          </w:p>
          <w:p w14:paraId="46DCBFC7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1"/>
              </w:rPr>
              <w:t>28岁  |  男  |  5年经验  |  AI应用开发 / 大模型开发  |  本科</w:t>
            </w:r>
          </w:p>
        </w:tc>
        <w:tc>
          <w:tcPr>
            <w:tcW w:w="1337" w:type="dxa"/>
            <w:tcBorders>
              <w:top w:val="single" w:color="E5E7EB" w:sz="6" w:space="0"/>
              <w:bottom w:val="single" w:color="E5E7EB" w:sz="6" w:space="0"/>
            </w:tcBorders>
            <w:vAlign w:val="center"/>
          </w:tcPr>
          <w:p w14:paraId="79CFEAE6">
            <w:pPr>
              <w:spacing w:line="240" w:lineRule="auto"/>
              <w:ind w:firstLine="3"/>
              <w:jc w:val="center"/>
              <w:rPr>
                <w:rFonts w:hint="eastAsia" w:eastAsia="宋体"/>
                <w:lang w:eastAsia="zh-CN"/>
              </w:rPr>
            </w:pPr>
          </w:p>
        </w:tc>
      </w:tr>
    </w:tbl>
    <w:p w14:paraId="16820E28">
      <w:pPr>
        <w:pStyle w:val="2"/>
        <w:spacing w:before="179" w:line="444" w:lineRule="exact"/>
      </w:pPr>
      <w:r>
        <w:rPr>
          <w:position w:val="-8"/>
        </w:rPr>
        <w:pict>
          <v:group id="_x0000_s1026" o:spid="_x0000_s1026" o:spt="203" style="height:22.2pt;width:62.95pt;" coordsize="1259,444">
            <o:lock v:ext="edit"/>
            <v:shape id="_x0000_s1027" o:spid="_x0000_s1027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28" o:spid="_x0000_s1028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CE8A68">
                    <w:pPr>
                      <w:spacing w:before="108" w:line="191" w:lineRule="auto"/>
                      <w:ind w:left="174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教育背景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CEFA5D5">
      <w:pPr>
        <w:pStyle w:val="2"/>
        <w:tabs>
          <w:tab w:val="left" w:pos="5613"/>
          <w:tab w:val="right" w:pos="9638"/>
        </w:tabs>
        <w:spacing w:before="150" w:line="188" w:lineRule="auto"/>
        <w:ind w:left="5"/>
      </w:pPr>
      <w:r>
        <w:rPr>
          <w:rFonts w:ascii="微软雅黑" w:hAnsi="微软雅黑" w:eastAsia="微软雅黑"/>
          <w:b w:val="0"/>
        </w:rPr>
        <w:t>泉州师范学院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材料化学（本科）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2016.09 - 2020.06</w:t>
      </w:r>
    </w:p>
    <w:p w14:paraId="69E2E440">
      <w:pPr>
        <w:pStyle w:val="2"/>
        <w:spacing w:before="185" w:line="444" w:lineRule="exact"/>
      </w:pPr>
      <w:r>
        <w:rPr>
          <w:position w:val="-8"/>
        </w:rPr>
        <w:pict>
          <v:group id="_x0000_s1029" o:spid="_x0000_s1029" o:spt="203" style="height:22.2pt;width:62.95pt;" coordsize="1259,444">
            <o:lock v:ext="edit"/>
            <v:shape id="_x0000_s1030" o:spid="_x0000_s1030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1" o:spid="_x0000_s1031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004D4A">
                    <w:pPr>
                      <w:spacing w:before="108" w:line="192" w:lineRule="auto"/>
                      <w:ind w:left="176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荣誉证书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6BE1B1E">
      <w:pPr>
        <w:pStyle w:val="2"/>
        <w:spacing w:before="182" w:line="228" w:lineRule="auto"/>
        <w:ind w:left="59" w:right="5327"/>
      </w:pPr>
      <w:r>
        <w:rPr>
          <w:rFonts w:ascii="微软雅黑" w:hAnsi="微软雅黑" w:eastAsia="微软雅黑"/>
          <w:b w:val="0"/>
        </w:rPr>
        <w:t>.  一等奖学金   .  普通话二甲</w:t>
      </w:r>
      <w:bookmarkStart w:id="0" w:name="_GoBack"/>
      <w:bookmarkEnd w:id="0"/>
    </w:p>
    <w:p w14:paraId="27AFCFB8">
      <w:pPr>
        <w:pStyle w:val="2"/>
        <w:spacing w:before="110" w:line="435" w:lineRule="exact"/>
      </w:pPr>
      <w:r>
        <w:rPr>
          <w:position w:val="-8"/>
        </w:rPr>
        <w:pict>
          <v:group id="_x0000_s1032" o:spid="_x0000_s1032" o:spt="203" style="height:21.75pt;width:62.95pt;" coordsize="1259,435">
            <o:lock v:ext="edit"/>
            <v:shape id="_x0000_s1033" o:spid="_x0000_s1033" o:spt="75" type="#_x0000_t75" style="position:absolute;left:0;top:0;height:435;width:1259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4" o:spid="_x0000_s1034" o:spt="202" type="#_x0000_t202" style="position:absolute;left:-20;top:-20;height:475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0BA2E2E">
                    <w:pPr>
                      <w:spacing w:before="108" w:line="191" w:lineRule="auto"/>
                      <w:ind w:left="182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6"/>
                        <w:sz w:val="23"/>
                        <w:szCs w:val="23"/>
                      </w:rPr>
                      <w:t>专业技能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D6DC66B">
      <w:pPr>
        <w:pStyle w:val="2"/>
        <w:spacing w:before="175" w:line="172" w:lineRule="auto"/>
        <w:ind w:left="59"/>
        <w:rPr>
          <w:rFonts w:ascii="微软雅黑" w:hAnsi="微软雅黑" w:eastAsia="微软雅黑"/>
          <w:b w:val="0"/>
        </w:rPr>
      </w:pPr>
      <w:r>
        <w:rPr>
          <w:rFonts w:ascii="微软雅黑" w:hAnsi="微软雅黑" w:eastAsia="微软雅黑"/>
          <w:b/>
          <w:bCs/>
        </w:rPr>
        <w:t>.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</w:rPr>
        <w:t>多智能体系统架构与调度:</w:t>
      </w:r>
      <w:r>
        <w:rPr>
          <w:rFonts w:ascii="微软雅黑" w:hAnsi="微软雅黑" w:eastAsia="微软雅黑"/>
          <w:b w:val="0"/>
        </w:rPr>
        <w:t xml:space="preserve"> 熟练基于LangGraph构建多Agent协同系统，掌握分布式Supervisory控制面设计，熟悉事件收敛、决策下发、冲突仲裁与容灾接管机制，具备从单点调度向分布式协同架构演进的设计经验，保障系统高可用与可扩展性。 </w:t>
      </w:r>
    </w:p>
    <w:p w14:paraId="596BCD1C">
      <w:pPr>
        <w:pStyle w:val="2"/>
        <w:spacing w:before="175" w:line="172" w:lineRule="auto"/>
        <w:ind w:left="59"/>
        <w:rPr>
          <w:rFonts w:ascii="微软雅黑" w:hAnsi="微软雅黑" w:eastAsia="微软雅黑"/>
          <w:b w:val="0"/>
        </w:rPr>
      </w:pPr>
      <w:r>
        <w:rPr>
          <w:rFonts w:ascii="微软雅黑" w:hAnsi="微软雅黑" w:eastAsia="微软雅黑"/>
          <w:b/>
          <w:bCs/>
        </w:rPr>
        <w:t>. 大模型应用核心能力:</w:t>
      </w:r>
      <w:r>
        <w:rPr>
          <w:rFonts w:ascii="微软雅黑" w:hAnsi="微软雅黑" w:eastAsia="微软雅黑"/>
          <w:b w:val="0"/>
        </w:rPr>
        <w:t xml:space="preserve"> 精通RAG全链路开发与自进化优化，掌握结构化长期记忆构建、上下文管理与个性化召回方法；具备复杂意图理解、多意图拆分与任务路由设计经验，能兼顾低延迟响应与复杂请求的深度理解。</w:t>
      </w:r>
    </w:p>
    <w:p w14:paraId="53DCD615">
      <w:pPr>
        <w:pStyle w:val="2"/>
        <w:spacing w:before="175" w:line="172" w:lineRule="auto"/>
        <w:ind w:left="59"/>
        <w:rPr>
          <w:rFonts w:ascii="微软雅黑" w:hAnsi="微软雅黑" w:eastAsia="微软雅黑"/>
          <w:b w:val="0"/>
        </w:rPr>
      </w:pPr>
      <w:r>
        <w:rPr>
          <w:rFonts w:ascii="微软雅黑" w:hAnsi="微软雅黑" w:eastAsia="微软雅黑"/>
          <w:b/>
          <w:bCs/>
        </w:rPr>
        <w:t xml:space="preserve"> . 垂直场景AI产品落地:</w:t>
      </w:r>
      <w:r>
        <w:rPr>
          <w:rFonts w:ascii="微软雅黑" w:hAnsi="微软雅黑" w:eastAsia="微软雅黑"/>
          <w:b w:val="0"/>
        </w:rPr>
        <w:t xml:space="preserve"> 具备智慧教育与养老关怀两大垂直领域的AI应用开发经验，能围绕题库建设、学情分析、学生关怀、健康监测等业务需求，完成从需求拆解、系统抽象到产品级落地的全流程闭环。 </w:t>
      </w:r>
    </w:p>
    <w:p w14:paraId="102EA47A">
      <w:pPr>
        <w:pStyle w:val="2"/>
        <w:spacing w:before="175" w:line="172" w:lineRule="auto"/>
        <w:ind w:left="59"/>
        <w:rPr>
          <w:rFonts w:ascii="微软雅黑" w:hAnsi="微软雅黑" w:eastAsia="微软雅黑"/>
          <w:b w:val="0"/>
        </w:rPr>
      </w:pPr>
      <w:r>
        <w:rPr>
          <w:rFonts w:ascii="微软雅黑" w:hAnsi="微软雅黑" w:eastAsia="微软雅黑"/>
          <w:b/>
          <w:bCs/>
        </w:rPr>
        <w:t xml:space="preserve">. 算法与决策能力: </w:t>
      </w:r>
      <w:r>
        <w:rPr>
          <w:rFonts w:ascii="微软雅黑" w:hAnsi="微软雅黑" w:eastAsia="微软雅黑"/>
          <w:b w:val="0"/>
        </w:rPr>
        <w:t>熟悉贝叶斯推断、HMM状态建模、模糊逻辑、多臂赌博机（MAB）等算法，可用于冲突仲裁、风险研判与自适应调度；掌握用户画像、知识图谱构建方法，为上层AI应用提供个性化上下文。</w:t>
      </w:r>
    </w:p>
    <w:p w14:paraId="6D220491">
      <w:pPr>
        <w:pStyle w:val="2"/>
        <w:spacing w:before="175" w:line="172" w:lineRule="auto"/>
        <w:ind w:left="59"/>
        <w:rPr>
          <w:rFonts w:ascii="微软雅黑" w:hAnsi="微软雅黑" w:eastAsia="微软雅黑"/>
          <w:b w:val="0"/>
        </w:rPr>
      </w:pPr>
      <w:r>
        <w:rPr>
          <w:rFonts w:ascii="微软雅黑" w:hAnsi="微软雅黑" w:eastAsia="微软雅黑"/>
          <w:b/>
          <w:bCs/>
        </w:rPr>
        <w:t xml:space="preserve"> . 工程化与部署能力:</w:t>
      </w:r>
      <w:r>
        <w:rPr>
          <w:rFonts w:ascii="微软雅黑" w:hAnsi="微软雅黑" w:eastAsia="微软雅黑"/>
          <w:b w:val="0"/>
        </w:rPr>
        <w:t xml:space="preserve"> </w:t>
      </w:r>
      <w:r>
        <w:rPr>
          <w:rFonts w:hint="eastAsia"/>
          <w:b w:val="0"/>
          <w:lang w:val="en-US" w:eastAsia="zh-CN"/>
        </w:rPr>
        <w:t>掌握</w:t>
      </w:r>
      <w:r>
        <w:rPr>
          <w:rFonts w:ascii="微软雅黑" w:hAnsi="微软雅黑" w:eastAsia="微软雅黑"/>
          <w:b w:val="0"/>
        </w:rPr>
        <w:t>Python、FastAPI等开发框架，掌握Redis、Milvus、Neo4j等中间件与数据库，熟悉Docker容器化部署、Nginx反向代理与Linux运维，具备高并发、高可用AI应用的工程化落地经验。</w:t>
      </w:r>
    </w:p>
    <w:p w14:paraId="0486CDC4">
      <w:pPr>
        <w:pStyle w:val="2"/>
        <w:spacing w:before="175" w:line="172" w:lineRule="auto"/>
        <w:ind w:left="59"/>
      </w:pPr>
      <w:r>
        <w:rPr>
          <w:rFonts w:ascii="微软雅黑" w:hAnsi="微软雅黑" w:eastAsia="微软雅黑"/>
          <w:b/>
          <w:bCs/>
        </w:rPr>
        <w:t>.  掌握工程工具</w:t>
      </w:r>
      <w:r>
        <w:rPr>
          <w:rFonts w:ascii="微软雅黑" w:hAnsi="微软雅黑" w:eastAsia="微软雅黑"/>
          <w:b w:val="0"/>
        </w:rPr>
        <w:t>：Python、FastAPI、LangChain、LangGraph、SQLAlchemy；LLM、RAG、Embedding、BERT 微调、HMM、Fuzzy Logic、贝叶斯推断、MAB、PSO；MySQL、Redis、Milvus、Neo4j；Docker、Nginx、Linux；Redis Pub/Sub、Message Queue、gRPC、HTTP API</w:t>
      </w:r>
    </w:p>
    <w:p w14:paraId="29043ECC">
      <w:pPr>
        <w:pStyle w:val="2"/>
        <w:spacing w:before="206" w:line="434" w:lineRule="exact"/>
      </w:pPr>
      <w:r>
        <w:rPr>
          <w:position w:val="-8"/>
        </w:rPr>
        <w:pict>
          <v:group id="_x0000_s1035" o:spid="_x0000_s1035" o:spt="203" style="height:21.75pt;width:62.95pt;" coordsize="1259,435">
            <o:lock v:ext="edit"/>
            <v:shape id="_x0000_s1036" o:spid="_x0000_s1036" o:spt="75" type="#_x0000_t75" style="position:absolute;left:0;top:0;height:435;width:1259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37" o:spid="_x0000_s1037" o:spt="202" type="#_x0000_t202" style="position:absolute;left:-20;top:-20;height:475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FAE874">
                    <w:pPr>
                      <w:spacing w:before="108" w:line="192" w:lineRule="auto"/>
                      <w:ind w:left="180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7"/>
                        <w:sz w:val="23"/>
                        <w:szCs w:val="23"/>
                      </w:rPr>
                      <w:t>工作经历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1A1A1E2">
      <w:pPr>
        <w:pStyle w:val="2"/>
        <w:tabs>
          <w:tab w:val="left" w:pos="5613"/>
          <w:tab w:val="right" w:pos="9638"/>
        </w:tabs>
        <w:spacing w:before="145" w:line="194" w:lineRule="auto"/>
        <w:ind w:left="3"/>
      </w:pPr>
      <w:r>
        <w:rPr>
          <w:rFonts w:ascii="微软雅黑" w:hAnsi="微软雅黑" w:eastAsia="微软雅黑"/>
          <w:b w:val="0"/>
        </w:rPr>
        <w:t>浙江孚宝智能科技有限公司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大模型开发工程师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2024.07 - 至今</w:t>
      </w:r>
    </w:p>
    <w:p w14:paraId="04BA95A9">
      <w:pPr>
        <w:pStyle w:val="2"/>
        <w:tabs>
          <w:tab w:val="left" w:pos="5613"/>
          <w:tab w:val="right" w:pos="9638"/>
        </w:tabs>
        <w:spacing w:before="145" w:line="194" w:lineRule="auto"/>
        <w:ind w:left="3"/>
      </w:pPr>
      <w:r>
        <w:rPr>
          <w:rFonts w:ascii="微软雅黑" w:hAnsi="微软雅黑" w:eastAsia="微软雅黑"/>
          <w:b w:val="0"/>
        </w:rPr>
        <w:t>浙江创丰智能电子科技有限公司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AI应用开发工程师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2021.07 - 2024.06</w:t>
      </w:r>
    </w:p>
    <w:p w14:paraId="47956CE5">
      <w:pPr>
        <w:pStyle w:val="2"/>
        <w:tabs>
          <w:tab w:val="left" w:pos="5613"/>
          <w:tab w:val="right" w:pos="9638"/>
        </w:tabs>
        <w:spacing w:before="145" w:line="194" w:lineRule="auto"/>
        <w:ind w:left="3"/>
      </w:pPr>
      <w:r>
        <w:rPr>
          <w:rFonts w:ascii="微软雅黑" w:hAnsi="微软雅黑" w:eastAsia="微软雅黑"/>
          <w:b w:val="0"/>
        </w:rPr>
        <w:t>福清市福耀玻璃集团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信息部技术员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2020.07 - 2021.06</w:t>
      </w:r>
    </w:p>
    <w:p w14:paraId="5F29E619">
      <w:pPr>
        <w:pStyle w:val="2"/>
        <w:spacing w:before="189" w:line="443" w:lineRule="exact"/>
      </w:pPr>
      <w:r>
        <w:rPr>
          <w:position w:val="-8"/>
        </w:rPr>
        <w:pict>
          <v:group id="_x0000_s1038" o:spid="_x0000_s1038" o:spt="203" style="height:22.2pt;width:62.95pt;" coordsize="1259,444">
            <o:lock v:ext="edit"/>
            <v:shape id="_x0000_s1039" o:spid="_x0000_s1039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40" o:spid="_x0000_s1040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527B5BB">
                    <w:pPr>
                      <w:spacing w:before="108" w:line="190" w:lineRule="auto"/>
                      <w:ind w:left="174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项目经历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6836A51">
      <w:pPr>
        <w:pStyle w:val="2"/>
        <w:tabs>
          <w:tab w:val="left" w:pos="5613"/>
          <w:tab w:val="right" w:pos="9638"/>
        </w:tabs>
        <w:spacing w:before="151" w:line="194" w:lineRule="auto"/>
        <w:ind w:left="3"/>
      </w:pPr>
      <w:r>
        <w:rPr>
          <w:rFonts w:ascii="微软雅黑" w:hAnsi="微软雅黑" w:eastAsia="微软雅黑"/>
          <w:b/>
        </w:rPr>
        <w:t>VITALAI</w:t>
      </w:r>
      <w:r>
        <w:rPr>
          <w:rFonts w:hint="eastAsia"/>
          <w:b/>
          <w:lang w:val="en-US" w:eastAsia="zh-CN"/>
        </w:rPr>
        <w:t>(生命智能）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分布式多智能体协同决策平台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2024.07 - 至今</w:t>
      </w:r>
    </w:p>
    <w:p w14:paraId="200F505F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项目背景：</w:t>
      </w:r>
      <w:r>
        <w:rPr>
          <w:rFonts w:ascii="微软雅黑" w:hAnsi="微软雅黑" w:eastAsia="微软雅黑"/>
          <w:b w:val="0"/>
        </w:rPr>
        <w:t>项目面向老龄关爱场景，构建以分布式 Supervisory 控制面为核心的多智能体协同系统，围绕健康监测、日常管理、情绪陪伴、外部工具调用、隐私治理与智能汇报等场景，组织多个专业 Agent 协同运行。</w:t>
      </w:r>
    </w:p>
    <w:p w14:paraId="31640979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技术栈：</w:t>
      </w:r>
      <w:r>
        <w:rPr>
          <w:rFonts w:ascii="微软雅黑" w:hAnsi="微软雅黑" w:eastAsia="微软雅黑"/>
          <w:b w:val="0"/>
        </w:rPr>
        <w:t>LLM、LangGraph、多智能体协同、Redis Pub/Sub / Queue、gRPC / HTTP、Hindsight 四网络记忆、RAG、Neo4j、BERT 微调、HMM、Fuzzy Logic、贝叶斯推断、MAB、PSO。</w:t>
      </w:r>
    </w:p>
    <w:p w14:paraId="0FE1287C">
      <w:pPr>
        <w:pStyle w:val="2"/>
        <w:spacing w:before="22" w:line="192" w:lineRule="auto"/>
        <w:ind w:left="59"/>
      </w:pPr>
      <w:r>
        <w:rPr>
          <w:rFonts w:ascii="微软雅黑" w:hAnsi="微软雅黑" w:eastAsia="微软雅黑"/>
          <w:b w:val="0"/>
        </w:rPr>
        <w:t xml:space="preserve">  核心职责：</w:t>
      </w:r>
    </w:p>
    <w:p w14:paraId="306D6242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1. 分布式多智能体总体架构设计：</w:t>
      </w:r>
      <w:r>
        <w:rPr>
          <w:rFonts w:ascii="微软雅黑" w:hAnsi="微软雅黑" w:eastAsia="微软雅黑"/>
          <w:b w:val="0"/>
        </w:rPr>
        <w:t>围绕健康模块 Agent、日常管理 Agent、精神模块总 Agent、Tool Agent、隐私卫士 Agent、智能汇报 Agent 等多角色智能体建立协同机制，并通过 Supervisory 控制面统一完成事件收敛、任务下发、状态同步与异常处理，形成“多 Agent 专业分工 + 中枢协同决策”的系统设计方案。</w:t>
      </w:r>
    </w:p>
    <w:p w14:paraId="28EFC215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2. Supervisory 控制面分布式改造：</w:t>
      </w:r>
      <w:r>
        <w:rPr>
          <w:rFonts w:ascii="微软雅黑" w:hAnsi="微软雅黑" w:eastAsia="微软雅黑"/>
          <w:b w:val="0"/>
        </w:rPr>
        <w:t>将原单点 Supervisor 拆分为 Decision Core、Event Aggregator、Log Service、Health Monitor 与 Shadow Supervisor，形成“精简决策核心 + 专职子服务 + 热备接管”的分布式架构；通过事件聚合、优先级分发、异步日志写入、心跳监控与故障切换机制，提升高频事件场景下的稳定性与可扩展性。</w:t>
      </w:r>
    </w:p>
    <w:p w14:paraId="0FE50F69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3. 四层协同机制建设：</w:t>
      </w:r>
      <w:r>
        <w:rPr>
          <w:rFonts w:ascii="微软雅黑" w:hAnsi="微软雅黑" w:eastAsia="微软雅黑"/>
          <w:b w:val="0"/>
        </w:rPr>
        <w:t>参与构建通信基础设施层、反馈闭环数据流层、冲突仲裁中间层、紧急中断覆盖层四层机制；底层统一消息信封与同步 / 异步通信模式，中层引入 L1/L2/L3 三层反馈学习闭环，上层设计意图声明池、目标权重仲裁、P0-P3 中断体系与快照恢复机制，提升多智能体系统的协同效率与应急响应能力。</w:t>
      </w:r>
    </w:p>
    <w:p w14:paraId="3BD5A1F0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4. 记忆与场景能力落地：</w:t>
      </w:r>
      <w:r>
        <w:rPr>
          <w:rFonts w:ascii="微软雅黑" w:hAnsi="微软雅黑" w:eastAsia="微软雅黑"/>
          <w:b w:val="0"/>
        </w:rPr>
        <w:t>基于 Hindsight 四网络架构搭建 W/E/O/S 记忆系统与双层意图识别链路，增强系统的连续性记忆与复杂指令理解能力；在健康侧落地 HMM 步态感知、Fuzzy Logic 血压评估与药物冲突检测，在日常侧落地 MAB 智能推送调度、无障碍路径规划与 PSO 行程优化，在精神侧落地情绪识别、记忆召回与智慧传承，在汇报侧落地多信号风险预测与家属摘要生成。</w:t>
      </w:r>
    </w:p>
    <w:p w14:paraId="19ECEBD2">
      <w:pPr>
        <w:pStyle w:val="2"/>
        <w:tabs>
          <w:tab w:val="left" w:pos="5613"/>
          <w:tab w:val="right" w:pos="9638"/>
        </w:tabs>
        <w:spacing w:before="151" w:line="194" w:lineRule="auto"/>
        <w:ind w:left="3"/>
      </w:pPr>
      <w:r>
        <w:rPr>
          <w:rFonts w:ascii="微软雅黑" w:hAnsi="微软雅黑" w:eastAsia="微软雅黑"/>
          <w:b/>
        </w:rPr>
        <w:t>教智云枢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区域智慧教育 AI 平台</w:t>
      </w:r>
      <w:r>
        <w:rPr>
          <w:rFonts w:ascii="Arial" w:hAnsi="Arial" w:eastAsia="Arial"/>
          <w:b w:val="0"/>
        </w:rPr>
        <w:tab/>
      </w:r>
      <w:r>
        <w:rPr>
          <w:rFonts w:ascii="微软雅黑" w:hAnsi="微软雅黑" w:eastAsia="微软雅黑"/>
          <w:b w:val="0"/>
        </w:rPr>
        <w:t>2021.07 - 2024.06</w:t>
      </w:r>
    </w:p>
    <w:p w14:paraId="53BA935D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项目背景：</w:t>
      </w:r>
      <w:r>
        <w:rPr>
          <w:rFonts w:ascii="微软雅黑" w:hAnsi="微软雅黑" w:eastAsia="微软雅黑"/>
          <w:b w:val="0"/>
        </w:rPr>
        <w:t>项目面向教育行业，围绕智慧教学、智慧管理和智慧家校协同构建智能化 AI 平台，覆盖题库管理、考试评估、智能辅导与学生关怀等核心场景，目标是通过 AI 能力打通“测 - 评 - 练 - 改”业务闭环，提升教学效率与个性化服务能力。</w:t>
      </w:r>
    </w:p>
    <w:p w14:paraId="67451F10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技术栈：</w:t>
      </w:r>
      <w:r>
        <w:rPr>
          <w:rFonts w:ascii="微软雅黑" w:hAnsi="微软雅黑" w:eastAsia="微软雅黑"/>
          <w:b w:val="0"/>
        </w:rPr>
        <w:t>Python、FastAPI、MySQL、Redis、Milvus、LangChain、LangGraph、LLM、Embedding、RAG、Neo4j、贝叶斯推断。</w:t>
      </w:r>
    </w:p>
    <w:p w14:paraId="5196BF02">
      <w:pPr>
        <w:pStyle w:val="2"/>
        <w:spacing w:before="22" w:line="192" w:lineRule="auto"/>
        <w:ind w:left="59"/>
      </w:pPr>
      <w:r>
        <w:rPr>
          <w:rFonts w:ascii="微软雅黑" w:hAnsi="微软雅黑" w:eastAsia="微软雅黑"/>
          <w:b w:val="0"/>
        </w:rPr>
        <w:t xml:space="preserve">  核心职责：</w:t>
      </w:r>
    </w:p>
    <w:p w14:paraId="6238FE1C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1. 智研题库引擎：</w:t>
      </w:r>
      <w:r>
        <w:rPr>
          <w:rFonts w:ascii="微软雅黑" w:hAnsi="微软雅黑" w:eastAsia="微软雅黑"/>
          <w:b w:val="0"/>
        </w:rPr>
        <w:t>负责题库核心模块开发，围绕题目管理、随机抽题、核对答案、AI 出题、AI 审题、AI 题目解析、题目导入导出等能力完成系统实现；结合答题记录与题目画像特征，参与错题补偿、个性化推题、随机抽题优化、题目质量全生命周期管理等能力建设。</w:t>
      </w:r>
    </w:p>
    <w:p w14:paraId="41335839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2. 心语护航 — 学生关怀智能研判系统：</w:t>
      </w:r>
      <w:r>
        <w:rPr>
          <w:rFonts w:ascii="微软雅黑" w:hAnsi="微软雅黑" w:eastAsia="微软雅黑"/>
          <w:b w:val="0"/>
        </w:rPr>
        <w:t>负责学生关怀模块核心能力开发，基于 LangGraph 搭建“6个维度专家智能体 + 1个整合智能体”的并行研判工作流，围绕情绪、社交、安全、家庭、学习、行为六个维度输出风险画像与综合建议；引入贝叶斯辅助推断、</w:t>
      </w:r>
      <w:r>
        <w:rPr>
          <w:rFonts w:hint="eastAsia"/>
          <w:b w:val="0"/>
          <w:lang w:val="en-US" w:eastAsia="zh-CN"/>
        </w:rPr>
        <w:t>贝叶斯网络归因、</w:t>
      </w:r>
      <w:r>
        <w:rPr>
          <w:rFonts w:ascii="微软雅黑" w:hAnsi="微软雅黑" w:eastAsia="微软雅黑"/>
          <w:b w:val="0"/>
        </w:rPr>
        <w:t>时间衰减、边际递减、图谱关系增强、安全披露捕获与教师复核闭环。</w:t>
      </w:r>
    </w:p>
    <w:p w14:paraId="2F9155A0">
      <w:pPr>
        <w:pStyle w:val="2"/>
        <w:tabs>
          <w:tab w:val="left" w:pos="5783"/>
          <w:tab w:val="right" w:pos="9638"/>
        </w:tabs>
        <w:spacing w:before="151" w:line="194" w:lineRule="auto"/>
        <w:ind w:left="3"/>
      </w:pPr>
      <w:r>
        <w:rPr>
          <w:rFonts w:ascii="微软雅黑" w:hAnsi="微软雅黑" w:eastAsia="微软雅黑"/>
          <w:b/>
        </w:rPr>
        <w:t>福耀智排</w:t>
      </w:r>
      <w:r>
        <w:rPr>
          <w:rFonts w:ascii="微软雅黑" w:hAnsi="微软雅黑" w:eastAsia="微软雅黑"/>
          <w:b w:val="0"/>
        </w:rPr>
        <w:tab/>
      </w:r>
      <w:r>
        <w:rPr>
          <w:rFonts w:ascii="微软雅黑" w:hAnsi="微软雅黑" w:eastAsia="微软雅黑"/>
          <w:b w:val="0"/>
        </w:rPr>
        <w:t>生产计划自动排产系统</w:t>
      </w:r>
      <w:r>
        <w:rPr>
          <w:rFonts w:ascii="微软雅黑" w:hAnsi="微软雅黑" w:eastAsia="微软雅黑"/>
          <w:b w:val="0"/>
        </w:rPr>
        <w:tab/>
      </w:r>
      <w:r>
        <w:rPr>
          <w:rFonts w:ascii="微软雅黑" w:hAnsi="微软雅黑" w:eastAsia="微软雅黑"/>
          <w:b w:val="0"/>
        </w:rPr>
        <w:t>2020.07 - 2021.06</w:t>
      </w:r>
    </w:p>
    <w:p w14:paraId="61F16009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项目背景：</w:t>
      </w:r>
      <w:r>
        <w:rPr>
          <w:rFonts w:ascii="微软雅黑" w:hAnsi="微软雅黑" w:eastAsia="微软雅黑"/>
          <w:b w:val="0"/>
        </w:rPr>
        <w:t>玻璃制造场景下订单类型、设备产能、工序衔接与交付周期约束复杂，传统人工排产效率低、调整滞后，难以支撑生产计划的快速响应。项目围绕工厂生产计划自动化建设展开，目标是提升排产效率、减少人工干预并增强计划执行稳定性。</w:t>
      </w:r>
    </w:p>
    <w:p w14:paraId="13A248E2">
      <w:pPr>
        <w:pStyle w:val="2"/>
        <w:spacing w:before="83" w:line="201" w:lineRule="auto"/>
        <w:ind w:left="305" w:right="33" w:hanging="246"/>
      </w:pPr>
      <w:r>
        <w:rPr>
          <w:rFonts w:ascii="Arial" w:hAnsi="Arial" w:eastAsia="Arial"/>
          <w:b w:val="0"/>
        </w:rPr>
        <w:t xml:space="preserve">.  </w:t>
      </w:r>
      <w:r>
        <w:rPr>
          <w:rFonts w:ascii="微软雅黑" w:hAnsi="微软雅黑" w:eastAsia="微软雅黑"/>
          <w:b/>
        </w:rPr>
        <w:t>核心职责：</w:t>
      </w:r>
      <w:r>
        <w:rPr>
          <w:rFonts w:ascii="微软雅黑" w:hAnsi="微软雅黑" w:eastAsia="微软雅黑"/>
          <w:b w:val="0"/>
        </w:rPr>
        <w:t>梳理订单、设备、工序与产能等核心业务规则，参与自动排产逻辑设计与系统实现，推动生产计划由人工经验排程向系统化调度转变，输出可执行排产结果与计划数据。</w:t>
      </w:r>
    </w:p>
    <w:p w14:paraId="39279DC8">
      <w:pPr>
        <w:pStyle w:val="2"/>
        <w:spacing w:before="174" w:line="444" w:lineRule="exact"/>
      </w:pPr>
      <w:r>
        <w:rPr>
          <w:position w:val="-8"/>
        </w:rPr>
        <w:pict>
          <v:group id="_x0000_s1041" o:spid="_x0000_s1041" o:spt="203" style="height:22.2pt;width:62.95pt;" coordsize="1259,444">
            <o:lock v:ext="edit"/>
            <v:shape id="_x0000_s1042" o:spid="_x0000_s1042" o:spt="75" type="#_x0000_t75" style="position:absolute;left:0;top:0;height:444;width:1259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43" o:spid="_x0000_s1043" o:spt="202" type="#_x0000_t202" style="position:absolute;left:-20;top:-20;height:484;width:12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746B508">
                    <w:pPr>
                      <w:spacing w:before="103" w:line="191" w:lineRule="auto"/>
                      <w:ind w:left="176"/>
                      <w:rPr>
                        <w:rFonts w:ascii="微软雅黑" w:hAnsi="微软雅黑" w:eastAsia="微软雅黑" w:cs="微软雅黑"/>
                        <w:sz w:val="23"/>
                        <w:szCs w:val="23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FFFFFF"/>
                        <w:spacing w:val="8"/>
                        <w:sz w:val="23"/>
                        <w:szCs w:val="23"/>
                      </w:rPr>
                      <w:t>个人优势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8122C31">
      <w:pPr>
        <w:pStyle w:val="2"/>
        <w:spacing w:before="3" w:line="206" w:lineRule="auto"/>
        <w:ind w:left="318" w:right="185" w:hanging="259"/>
      </w:pPr>
      <w:r>
        <w:rPr>
          <w:rFonts w:ascii="微软雅黑" w:hAnsi="微软雅黑" w:eastAsia="微软雅黑"/>
          <w:b w:val="0"/>
        </w:rPr>
        <w:t>.  执行力强，能快速理解需求并推进落地，习惯主动同步进度，保证项目按时交付</w:t>
      </w:r>
    </w:p>
    <w:p w14:paraId="6AF96C87">
      <w:pPr>
        <w:pStyle w:val="2"/>
        <w:spacing w:before="3" w:line="206" w:lineRule="auto"/>
        <w:ind w:left="318" w:right="185" w:hanging="259"/>
      </w:pPr>
      <w:r>
        <w:rPr>
          <w:rFonts w:ascii="微软雅黑" w:hAnsi="微软雅黑" w:eastAsia="微软雅黑"/>
          <w:b w:val="0"/>
        </w:rPr>
        <w:t>.  具备较强的系统化思维，能够从业务需求中抽象关键问题，并转化为可落地的技术方案</w:t>
      </w:r>
    </w:p>
    <w:p w14:paraId="20622A0A">
      <w:pPr>
        <w:pStyle w:val="2"/>
        <w:spacing w:before="3" w:line="206" w:lineRule="auto"/>
        <w:ind w:left="318" w:right="185" w:hanging="259"/>
      </w:pPr>
      <w:r>
        <w:rPr>
          <w:rFonts w:ascii="微软雅黑" w:hAnsi="微软雅黑" w:eastAsia="微软雅黑"/>
          <w:b w:val="0"/>
        </w:rPr>
        <w:t>.  善于沟通协作，能将技术方案用业务语言表达清楚，降低跨部门沟通成本</w:t>
      </w:r>
    </w:p>
    <w:sectPr>
      <w:pgSz w:w="11919" w:h="16839"/>
      <w:pgMar w:top="518" w:right="773" w:bottom="0" w:left="71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7D923CD"/>
    <w:rsid w:val="22615145"/>
    <w:rsid w:val="25952CE9"/>
    <w:rsid w:val="317C04DD"/>
    <w:rsid w:val="35850E37"/>
    <w:rsid w:val="3998390E"/>
    <w:rsid w:val="46DD105A"/>
    <w:rsid w:val="51A540B9"/>
    <w:rsid w:val="60EA6524"/>
    <w:rsid w:val="67B23429"/>
    <w:rsid w:val="729C5C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2"/>
    <customShpInfo spid="_x0000_s1043"/>
    <customShpInfo spid="_x0000_s104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2053</Words>
  <Characters>2579</Characters>
  <TotalTime>1</TotalTime>
  <ScaleCrop>false</ScaleCrop>
  <LinksUpToDate>false</LinksUpToDate>
  <CharactersWithSpaces>2778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2026-03-16T09:59:00Z</dcterms:created>
  <dc:creator>19982</dc:creator>
  <cp:lastModifiedBy>何昊华</cp:lastModifiedBy>
  <dcterms:modified xsi:type="dcterms:W3CDTF">2026-04-17T13:37:38Z</dcterms:modified>
  <dc:title>小林简历 - 专业简历制作-简历模版在线制作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2026-03-16T19:00:57Z</vt:filetime>
  </property>
  <property fmtid="{D5CDD505-2E9C-101B-9397-08002B2CF9AE}" pid="4" name="KSOTemplateDocerSaveRecord">
    <vt:lpwstr>eyJoZGlkIjoiMzQ3YzcyZWZkNmNlMTUxNDk2ZjJhZDAyZTMxODdjZTkiLCJ1c2VySWQiOiIzNTU2NjA2OTQifQ==</vt:lpwstr>
  </property>
  <property fmtid="{D5CDD505-2E9C-101B-9397-08002B2CF9AE}" pid="5" name="KSOProductBuildVer">
    <vt:lpwstr>2052-12.1.0.25865</vt:lpwstr>
  </property>
  <property fmtid="{D5CDD505-2E9C-101B-9397-08002B2CF9AE}" pid="6" name="ICV">
    <vt:lpwstr>D05C4C6D2BFE4625993D680AD0FB713A_13</vt:lpwstr>
  </property>
</Properties>
</file>