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Arial" w:hAnsi="Arial" w:eastAsia="Microsoft YaHei"/>
          <w:b/>
          <w:i w:val="0"/>
          <w:color w:val="2E74B5"/>
          <w:sz w:val="20"/>
        </w:rPr>
        <w:t>董事长专题会议汇报材料</w:t>
      </w:r>
    </w:p>
    <w:p>
      <w:pPr>
        <w:keepNext/>
        <w:spacing w:before="0" w:after="40"/>
      </w:pPr>
      <w:r>
        <w:rPr>
          <w:rFonts w:ascii="Arial" w:hAnsi="Arial" w:eastAsia="Microsoft YaHei"/>
          <w:b/>
          <w:i w:val="0"/>
          <w:color w:val="17365D"/>
          <w:sz w:val="48"/>
        </w:rPr>
        <w:t>盐池北地1GW/4GWh储能项目</w:t>
      </w:r>
    </w:p>
    <w:p>
      <w:pPr>
        <w:spacing w:before="0" w:after="200"/>
      </w:pPr>
      <w:r>
        <w:rPr>
          <w:rFonts w:ascii="Arial" w:hAnsi="Arial" w:eastAsia="Microsoft YaHei"/>
          <w:b/>
          <w:i w:val="0"/>
          <w:color w:val="1F4D78"/>
          <w:sz w:val="30"/>
        </w:rPr>
        <w:t>7月份技术管理工作汇报</w:t>
      </w:r>
    </w:p>
    <w:p>
      <w:pPr>
        <w:spacing w:before="0" w:after="200" w:line="240" w:lineRule="auto"/>
      </w:pPr>
      <w:r>
        <w:rPr>
          <w:rFonts w:ascii="Arial" w:hAnsi="Arial" w:eastAsia="Microsoft YaHei"/>
          <w:b/>
          <w:i w:val="0"/>
          <w:color w:val="666666"/>
          <w:sz w:val="19"/>
        </w:rPr>
        <w:t>汇报部门：</w:t>
      </w:r>
      <w:r>
        <w:rPr>
          <w:rFonts w:ascii="Arial" w:hAnsi="Arial" w:eastAsia="Microsoft YaHei"/>
          <w:b w:val="0"/>
          <w:i w:val="0"/>
          <w:color w:val="666666"/>
          <w:sz w:val="19"/>
        </w:rPr>
        <w:t xml:space="preserve">技术部    </w:t>
      </w:r>
      <w:r>
        <w:rPr>
          <w:rFonts w:ascii="Arial" w:hAnsi="Arial" w:eastAsia="Microsoft YaHei"/>
          <w:b/>
          <w:i w:val="0"/>
          <w:color w:val="666666"/>
          <w:sz w:val="19"/>
        </w:rPr>
        <w:t>汇报人：</w:t>
      </w:r>
      <w:r>
        <w:rPr>
          <w:rFonts w:ascii="Arial" w:hAnsi="Arial" w:eastAsia="Microsoft YaHei"/>
          <w:b w:val="0"/>
          <w:i w:val="0"/>
          <w:color w:val="666666"/>
          <w:sz w:val="19"/>
        </w:rPr>
        <w:t xml:space="preserve">________    </w:t>
      </w:r>
      <w:r>
        <w:rPr>
          <w:rFonts w:ascii="Arial" w:hAnsi="Arial" w:eastAsia="Microsoft YaHei"/>
          <w:b/>
          <w:i w:val="0"/>
          <w:color w:val="666666"/>
          <w:sz w:val="19"/>
        </w:rPr>
        <w:t>汇报日期：</w:t>
      </w:r>
      <w:r>
        <w:rPr>
          <w:rFonts w:ascii="Arial" w:hAnsi="Arial" w:eastAsia="Microsoft YaHei"/>
          <w:b w:val="0"/>
          <w:i w:val="0"/>
          <w:color w:val="666666"/>
          <w:sz w:val="19"/>
        </w:rPr>
        <w:t xml:space="preserve">________    </w:t>
      </w:r>
    </w:p>
    <w:p>
      <w:pPr>
        <w:spacing w:before="0" w:after="140" w:line="269" w:lineRule="auto"/>
        <w:ind w:left="144" w:right="144"/>
        <w:shd w:fill="F4F7FB"/>
        <w:pBdr>
          <w:left w:val="single" w:sz="18" w:space="5" w:color="2E74B5"/>
          <w:top w:val="single" w:sz="4" w:space="5" w:color="2E74B5"/>
          <w:bottom w:val="single" w:sz="4" w:space="5" w:color="2E74B5"/>
          <w:right w:val="single" w:sz="4" w:space="5" w:color="2E74B5"/>
        </w:pBdr>
      </w:pPr>
      <w:r>
        <w:rPr>
          <w:rFonts w:ascii="Arial" w:hAnsi="Arial" w:eastAsia="Microsoft YaHei"/>
          <w:b/>
          <w:i w:val="0"/>
          <w:color w:val="2E74B5"/>
          <w:sz w:val="21"/>
        </w:rPr>
        <w:t>总体判断｜</w:t>
      </w:r>
      <w:r>
        <w:rPr>
          <w:rFonts w:ascii="Arial" w:hAnsi="Arial" w:eastAsia="Microsoft YaHei"/>
          <w:b w:val="0"/>
          <w:i w:val="0"/>
          <w:color w:val="1F1F1F"/>
          <w:sz w:val="21"/>
        </w:rPr>
        <w:t>项目前期批复和可研评审取得关键进展，储能区土建设计已具备施工条件，升压站、送出线路设计及主要设备技术协议同步推进。当前技术工作总体可控，但“送出线路产权协议”和“设备厂家资料提资”是影响可研收口、设计闭环及施工准备的两项关键约束，需在8月份集中突破。</w:t>
      </w:r>
    </w:p>
    <w:p>
      <w:pPr>
        <w:pStyle w:val="Heading1"/>
        <w:keepNext/>
      </w:pPr>
      <w:r>
        <w:t>一、本月关键进展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550"/>
        <w:gridCol w:w="5750"/>
        <w:gridCol w:w="2060"/>
      </w:tblGrid>
      <w:tr>
        <w:trPr>
          <w:tblHeader w:val="true"/>
        </w:trPr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工作主线</w:t>
            </w:r>
          </w:p>
        </w:tc>
        <w:tc>
          <w:tcPr>
            <w:tcW w:type="dxa" w:w="5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本月关键结果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高层判断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前期手续</w:t>
            </w:r>
          </w:p>
        </w:tc>
        <w:tc>
          <w:tcPr>
            <w:tcW w:type="dxa" w:w="57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7月7日取得电力接入批复（复核）；7月11日完成升压站及线路可研评审，7月20日完成报告修改。</w:t>
            </w:r>
          </w:p>
        </w:tc>
        <w:tc>
          <w:tcPr>
            <w:tcW w:type="dxa" w:w="20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关键节点完成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储能区设计</w:t>
            </w:r>
          </w:p>
        </w:tc>
        <w:tc>
          <w:tcPr>
            <w:tcW w:type="dxa" w:w="57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17卷册土建施工图全部完成；35kV集电线路敷设图及电缆清册复核完成。</w:t>
            </w:r>
          </w:p>
        </w:tc>
        <w:tc>
          <w:tcPr>
            <w:tcW w:type="dxa" w:w="2060"/>
            <w:shd w:fill="FFF2C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具备推进条件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升压站设计</w:t>
            </w:r>
          </w:p>
        </w:tc>
        <w:tc>
          <w:tcPr>
            <w:tcW w:type="dxa" w:w="57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主接线、总平面、二次网络拓扑及35kV电缆清册完成；设备基础设计推进中。</w:t>
            </w:r>
          </w:p>
        </w:tc>
        <w:tc>
          <w:tcPr>
            <w:tcW w:type="dxa" w:w="2060"/>
            <w:shd w:fill="FFF2C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按计划推进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送出线路</w:t>
            </w:r>
          </w:p>
        </w:tc>
        <w:tc>
          <w:tcPr>
            <w:tcW w:type="dxa" w:w="57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地勘完成，勘测定界范围确定；施工图计划8月5日完成。</w:t>
            </w:r>
          </w:p>
        </w:tc>
        <w:tc>
          <w:tcPr>
            <w:tcW w:type="dxa" w:w="20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关键路径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设备采购</w:t>
            </w:r>
          </w:p>
        </w:tc>
        <w:tc>
          <w:tcPr>
            <w:tcW w:type="dxa" w:w="57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SVG、330kV GIS、35kV GIS技术协议已确认；主变、开关柜协议审核中。</w:t>
            </w:r>
          </w:p>
        </w:tc>
        <w:tc>
          <w:tcPr>
            <w:tcW w:type="dxa" w:w="20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需加快闭环</w:t>
            </w:r>
          </w:p>
        </w:tc>
      </w:tr>
    </w:tbl>
    <w:p>
      <w:pPr>
        <w:spacing w:after="0" w:before="0" w:line="48" w:lineRule="auto"/>
      </w:pPr>
    </w:p>
    <w:p>
      <w:pPr>
        <w:pStyle w:val="Heading1"/>
        <w:keepNext/>
      </w:pPr>
      <w:r>
        <w:t>二、当前项目状态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/>
          <w:i w:val="0"/>
          <w:color w:val="1F1F1F"/>
          <w:sz w:val="20"/>
        </w:rPr>
        <w:t>手续端：</w:t>
      </w:r>
      <w:r>
        <w:rPr>
          <w:rFonts w:ascii="Arial" w:hAnsi="Arial" w:eastAsia="Microsoft YaHei"/>
          <w:b w:val="0"/>
          <w:i w:val="0"/>
          <w:color w:val="1F1F1F"/>
          <w:sz w:val="20"/>
        </w:rPr>
        <w:t>电力接入和可研评审关键节点已完成，用地预审及调度命名持续推进。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/>
          <w:i w:val="0"/>
          <w:color w:val="1F1F1F"/>
          <w:sz w:val="20"/>
        </w:rPr>
        <w:t>设计端：</w:t>
      </w:r>
      <w:r>
        <w:rPr>
          <w:rFonts w:ascii="Arial" w:hAnsi="Arial" w:eastAsia="Microsoft YaHei"/>
          <w:b w:val="0"/>
          <w:i w:val="0"/>
          <w:color w:val="1F1F1F"/>
          <w:sz w:val="20"/>
        </w:rPr>
        <w:t>储能区土建设计完成度较高，升压站基础设计和送出线路施工图进入收口阶段。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/>
          <w:i w:val="0"/>
          <w:color w:val="1F1F1F"/>
          <w:sz w:val="20"/>
        </w:rPr>
        <w:t>设备端：</w:t>
      </w:r>
      <w:r>
        <w:rPr>
          <w:rFonts w:ascii="Arial" w:hAnsi="Arial" w:eastAsia="Microsoft YaHei"/>
          <w:b w:val="0"/>
          <w:i w:val="0"/>
          <w:color w:val="1F1F1F"/>
          <w:sz w:val="20"/>
        </w:rPr>
        <w:t>主要一次设备协议取得阶段性进展，但厂家提资仍需与设计进度紧密联动。</w:t>
      </w:r>
    </w:p>
    <w:p>
      <w:r>
        <w:br w:type="page"/>
      </w:r>
    </w:p>
    <w:p>
      <w:pPr>
        <w:pStyle w:val="Heading1"/>
        <w:keepNext/>
      </w:pPr>
      <w:r>
        <w:t>三、技术管理重点工作</w:t>
      </w:r>
    </w:p>
    <w:p>
      <w:pPr>
        <w:pStyle w:val="Heading2"/>
        <w:keepNext/>
      </w:pPr>
      <w:r>
        <w:t>（一）设计工作：从“出图”转向“接口闭环”</w:t>
      </w:r>
    </w:p>
    <w:p>
      <w:pPr>
        <w:pStyle w:val="Heading3"/>
        <w:keepNext/>
      </w:pPr>
      <w:r>
        <w:t>1. 储能区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土建施工图全部完成，共17卷册，蓝图已于5月18日提交项目部。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防雷接地、综合楼及辅房电气设计完成；35kV集电线路敷设图完成。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35kV高压电缆清册复核完成，总量17,407m，其中3×150mm²为2,600m、3×300mm²为1,100m、3×400mm²为13,707m。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二次接线及视频监控设计待厂家资料到位后完成。</w:t>
      </w:r>
    </w:p>
    <w:p>
      <w:pPr>
        <w:pStyle w:val="Heading3"/>
        <w:keepNext/>
      </w:pPr>
      <w:r>
        <w:t>2. 升压站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主接线图、总平面图、二次网络拓扑图及35kV电缆清册已完成。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主变、330kV GIS、35kV GIS、SVG及预制舱基础设计推进中，计划8月上旬完成。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调度命名已与前期部、运维部完成沟通，正在办理。</w:t>
      </w:r>
    </w:p>
    <w:p>
      <w:pPr>
        <w:pStyle w:val="Heading3"/>
        <w:keepNext/>
      </w:pPr>
      <w:r>
        <w:t>3. 送出线路及设计优化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送出线路地勘已完成，线路设计计划8月5日完成。</w:t>
      </w:r>
    </w:p>
    <w:p>
      <w:pPr>
        <w:pStyle w:val="ListBullet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完成进场道路路径调整、升压站总图优化（取消2道电缆沟）及35kV电缆路径优化，重点提升施工合理性和实施便利性。</w:t>
      </w:r>
    </w:p>
    <w:p>
      <w:pPr>
        <w:pStyle w:val="Heading2"/>
        <w:keepNext/>
      </w:pPr>
      <w:r>
        <w:t>（二）设备管理：以提资进度保障设计深度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700"/>
        <w:gridCol w:w="2350"/>
        <w:gridCol w:w="2350"/>
        <w:gridCol w:w="29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设备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厂家</w:t>
            </w:r>
          </w:p>
        </w:tc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技术协议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厂家提资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SVG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新风光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已确认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进行中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330kV GIS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思源电气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已确认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进行中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35kV GIS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泰开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已确认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进行中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开关柜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平高</w:t>
            </w:r>
          </w:p>
        </w:tc>
        <w:tc>
          <w:tcPr>
            <w:tcW w:type="dxa" w:w="2350"/>
            <w:shd w:fill="FFF2C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审核中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进行中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主变</w:t>
            </w:r>
          </w:p>
        </w:tc>
        <w:tc>
          <w:tcPr>
            <w:tcW w:type="dxa" w:w="235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白云电器</w:t>
            </w:r>
          </w:p>
        </w:tc>
        <w:tc>
          <w:tcPr>
            <w:tcW w:type="dxa" w:w="2350"/>
            <w:shd w:fill="FFF2C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审核中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进行中</w:t>
            </w:r>
          </w:p>
        </w:tc>
      </w:tr>
    </w:tbl>
    <w:p>
      <w:pPr>
        <w:spacing w:after="0" w:before="0" w:line="48" w:lineRule="auto"/>
      </w:pPr>
    </w:p>
    <w:p>
      <w:pPr>
        <w:spacing w:before="0" w:after="140" w:line="269" w:lineRule="auto"/>
        <w:ind w:left="144" w:right="144"/>
        <w:shd w:fill="F4F7FB"/>
        <w:pBdr>
          <w:left w:val="single" w:sz="18" w:space="5" w:color="2E74B5"/>
          <w:top w:val="single" w:sz="4" w:space="5" w:color="2E74B5"/>
          <w:bottom w:val="single" w:sz="4" w:space="5" w:color="2E74B5"/>
          <w:right w:val="single" w:sz="4" w:space="5" w:color="2E74B5"/>
        </w:pBdr>
      </w:pPr>
      <w:r>
        <w:rPr>
          <w:rFonts w:ascii="Arial" w:hAnsi="Arial" w:eastAsia="Microsoft YaHei"/>
          <w:b/>
          <w:i w:val="0"/>
          <w:color w:val="2E74B5"/>
          <w:sz w:val="21"/>
        </w:rPr>
        <w:t>管理重点｜</w:t>
      </w:r>
      <w:r>
        <w:rPr>
          <w:rFonts w:ascii="Arial" w:hAnsi="Arial" w:eastAsia="Microsoft YaHei"/>
          <w:b w:val="0"/>
          <w:i w:val="0"/>
          <w:color w:val="1F1F1F"/>
          <w:sz w:val="21"/>
        </w:rPr>
        <w:t>设备技术协议不是单一采购事项，其交付质量和提资时效直接影响升压站基础、二次系统、监控系统及施工图收口。技术部将以“协议确认—厂家提资—设计确认—图纸发布”建立闭环清单。</w:t>
      </w:r>
    </w:p>
    <w:p>
      <w:r>
        <w:br w:type="page"/>
      </w:r>
    </w:p>
    <w:p>
      <w:pPr>
        <w:pStyle w:val="Heading1"/>
        <w:keepNext/>
      </w:pPr>
      <w:r>
        <w:t>四、主要风险及应对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100"/>
        <w:gridCol w:w="2720"/>
        <w:gridCol w:w="2960"/>
        <w:gridCol w:w="158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风险事项</w:t>
            </w:r>
          </w:p>
        </w:tc>
        <w:tc>
          <w:tcPr>
            <w:tcW w:type="dxa" w:w="2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可能影响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当前措施</w:t>
            </w:r>
          </w:p>
        </w:tc>
        <w:tc>
          <w:tcPr>
            <w:tcW w:type="dxa" w:w="1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7365D"/>
                <w:sz w:val="19"/>
              </w:rPr>
              <w:t>风险等级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送出线路产权协议尚未签订</w:t>
            </w:r>
          </w:p>
        </w:tc>
        <w:tc>
          <w:tcPr>
            <w:tcW w:type="dxa" w:w="272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影响线路设计收口、可研闭合及后续施工准备。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加快与相关单位协调，明确协议签订节点。</w:t>
            </w:r>
          </w:p>
        </w:tc>
        <w:tc>
          <w:tcPr>
            <w:tcW w:type="dxa" w:w="1580"/>
            <w:shd w:fill="FCE8E6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高｜需协调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设备厂家提资不及时</w:t>
            </w:r>
          </w:p>
        </w:tc>
        <w:tc>
          <w:tcPr>
            <w:tcW w:type="dxa" w:w="272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影响二次接线、视频监控及部分基础施工图完善。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建立提资清单，逐项明确责任人和最晚提交日期。</w:t>
            </w:r>
          </w:p>
        </w:tc>
        <w:tc>
          <w:tcPr>
            <w:tcW w:type="dxa" w:w="1580"/>
            <w:shd w:fill="FCE8E6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中高｜推进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设计、设备与施工接口多</w:t>
            </w:r>
          </w:p>
        </w:tc>
        <w:tc>
          <w:tcPr>
            <w:tcW w:type="dxa" w:w="272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可能造成图纸反复、现场变更和工期损失。</w:t>
            </w:r>
          </w:p>
        </w:tc>
        <w:tc>
          <w:tcPr>
            <w:tcW w:type="dxa" w:w="2960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i w:val="0"/>
                <w:color w:val="1F1F1F"/>
                <w:sz w:val="18"/>
              </w:rPr>
              <w:t>组织设计院、厂家、施工单位开展联合审查和技术交底。</w:t>
            </w:r>
          </w:p>
        </w:tc>
        <w:tc>
          <w:tcPr>
            <w:tcW w:type="dxa" w:w="1580"/>
            <w:shd w:fill="FFF2CC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i w:val="0"/>
                <w:color w:val="1F1F1F"/>
                <w:sz w:val="18"/>
              </w:rPr>
              <w:t>中｜受控</w:t>
            </w:r>
          </w:p>
        </w:tc>
      </w:tr>
    </w:tbl>
    <w:p>
      <w:pPr>
        <w:spacing w:after="0" w:before="0" w:line="48" w:lineRule="auto"/>
      </w:pPr>
    </w:p>
    <w:p>
      <w:pPr>
        <w:pStyle w:val="Heading1"/>
        <w:keepNext/>
      </w:pPr>
      <w:r>
        <w:t>五、8月份工作安排</w:t>
      </w:r>
    </w:p>
    <w:p>
      <w:pPr>
        <w:pStyle w:val="ListNumber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完成升压站土建施工图及送出线路施工图，推动可研收口。</w:t>
      </w:r>
    </w:p>
    <w:p>
      <w:pPr>
        <w:pStyle w:val="ListNumber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完成主变、开关柜技术协议审核，压实主要设备厂家提资节点。</w:t>
      </w:r>
    </w:p>
    <w:p>
      <w:pPr>
        <w:pStyle w:val="ListNumber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依据厂家资料完成二次系统、视频监控等后续设计。</w:t>
      </w:r>
    </w:p>
    <w:p>
      <w:pPr>
        <w:pStyle w:val="ListNumber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组织施工图审查、设计交底和技术交底，提前开展设备监造准备。</w:t>
      </w:r>
    </w:p>
    <w:p>
      <w:pPr>
        <w:pStyle w:val="ListNumber"/>
        <w:spacing w:before="0" w:after="80" w:line="259" w:lineRule="auto"/>
      </w:pPr>
      <w:r>
        <w:rPr>
          <w:rFonts w:ascii="Arial" w:hAnsi="Arial" w:eastAsia="Microsoft YaHei"/>
          <w:b w:val="0"/>
          <w:i w:val="0"/>
          <w:color w:val="1F1F1F"/>
          <w:sz w:val="20"/>
        </w:rPr>
        <w:t>推进进场道路、升压站用地预审及调度命名等配合事项。</w:t>
      </w:r>
    </w:p>
    <w:p>
      <w:pPr>
        <w:pStyle w:val="Heading1"/>
        <w:keepNext/>
      </w:pPr>
      <w:r>
        <w:t>六、建议公司层面协调事项</w:t>
      </w:r>
    </w:p>
    <w:p>
      <w:pPr>
        <w:spacing w:before="0" w:after="140" w:line="269" w:lineRule="auto"/>
        <w:ind w:left="144" w:right="144"/>
        <w:shd w:fill="FCE8E6"/>
        <w:pBdr>
          <w:left w:val="single" w:sz="18" w:space="5" w:color="9B1C1C"/>
          <w:top w:val="single" w:sz="4" w:space="5" w:color="9B1C1C"/>
          <w:bottom w:val="single" w:sz="4" w:space="5" w:color="9B1C1C"/>
          <w:right w:val="single" w:sz="4" w:space="5" w:color="9B1C1C"/>
        </w:pBdr>
      </w:pPr>
      <w:r>
        <w:rPr>
          <w:rFonts w:ascii="Arial" w:hAnsi="Arial" w:eastAsia="Microsoft YaHei"/>
          <w:b/>
          <w:i w:val="0"/>
          <w:color w:val="9B1C1C"/>
          <w:sz w:val="21"/>
        </w:rPr>
        <w:t>事项一｜</w:t>
      </w:r>
      <w:r>
        <w:rPr>
          <w:rFonts w:ascii="Arial" w:hAnsi="Arial" w:eastAsia="Microsoft YaHei"/>
          <w:b w:val="0"/>
          <w:i w:val="0"/>
          <w:color w:val="1F1F1F"/>
          <w:sz w:val="21"/>
        </w:rPr>
        <w:t>建议公司层面统筹推进送出线路产权协议，明确牵头部门、责任人和完成时限，避免成为项目关键路径堵点。</w:t>
      </w:r>
    </w:p>
    <w:p>
      <w:pPr>
        <w:spacing w:before="0" w:after="140" w:line="269" w:lineRule="auto"/>
        <w:ind w:left="144" w:right="144"/>
        <w:shd w:fill="FFF2CC"/>
        <w:pBdr>
          <w:left w:val="single" w:sz="18" w:space="5" w:color="7A5A00"/>
          <w:top w:val="single" w:sz="4" w:space="5" w:color="7A5A00"/>
          <w:bottom w:val="single" w:sz="4" w:space="5" w:color="7A5A00"/>
          <w:right w:val="single" w:sz="4" w:space="5" w:color="7A5A00"/>
        </w:pBdr>
      </w:pPr>
      <w:r>
        <w:rPr>
          <w:rFonts w:ascii="Arial" w:hAnsi="Arial" w:eastAsia="Microsoft YaHei"/>
          <w:b/>
          <w:i w:val="0"/>
          <w:color w:val="7A5A00"/>
          <w:sz w:val="21"/>
        </w:rPr>
        <w:t>事项二｜</w:t>
      </w:r>
      <w:r>
        <w:rPr>
          <w:rFonts w:ascii="Arial" w:hAnsi="Arial" w:eastAsia="Microsoft YaHei"/>
          <w:b w:val="0"/>
          <w:i w:val="0"/>
          <w:color w:val="1F1F1F"/>
          <w:sz w:val="21"/>
        </w:rPr>
        <w:t>建议强化采购与技术联动，对主变、开关柜技术协议及全部主要设备提资设置刚性节点，并纳入周度跟踪。</w:t>
      </w:r>
    </w:p>
    <w:p>
      <w:pPr>
        <w:pStyle w:val="Heading1"/>
        <w:keepNext/>
      </w:pPr>
      <w:r>
        <w:t>七、技术部工作承诺</w:t>
      </w:r>
    </w:p>
    <w:p>
      <w:pPr>
        <w:spacing w:before="0" w:after="0" w:line="269" w:lineRule="auto"/>
      </w:pPr>
      <w:r>
        <w:rPr>
          <w:rFonts w:ascii="Arial" w:hAnsi="Arial" w:eastAsia="Microsoft YaHei"/>
          <w:b w:val="0"/>
          <w:i w:val="0"/>
          <w:color w:val="1F1F1F"/>
          <w:sz w:val="21"/>
        </w:rPr>
        <w:t>技术部将围绕“设计条件落实、设备接口闭环、图纸质量把关、关键节点兑现”四项职责，持续盯紧送出线路、升压站和设备提资三条主线，及时暴露风险、推动跨部门协同，确保技术工作满足项目建设总体安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66666"/>
        <w:sz w:val="17"/>
      </w:rPr>
      <w:t xml:space="preserve">第 </w:t>
    </w:r>
    <w:fldSimple w:instr="PAGE">
      <w:r>
        <w:rPr>
          <w:rFonts w:ascii="Arial" w:hAnsi="Arial"/>
          <w:color w:val="666666"/>
          <w:sz w:val="17"/>
        </w:rPr>
        <w:t>1</w:t>
      </w:r>
    </w:fldSimple>
    <w:r>
      <w:rPr>
        <w:rFonts w:ascii="Arial" w:hAnsi="Arial" w:eastAsia="Microsoft YaHei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Microsoft YaHei"/>
        <w:b/>
        <w:i w:val="0"/>
        <w:color w:val="666666"/>
        <w:sz w:val="17"/>
      </w:rPr>
      <w:t>盐池北地1GW/4GWh储能项目｜技术管理专题汇报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40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ind w:left="720" w:hanging="360"/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ind w:left="720" w:hanging="360"/>
      <w:contextualSpacing/>
    </w:pPr>
    <w:rPr>
      <w:rFonts w:ascii="Arial" w:hAnsi="Arial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盐池北地1GW/4GWh储能项目7月份技术管理工作汇报</dc:title>
  <dc:subject>董事长专题会议汇报材料</dc:subject>
  <dc:creator>技术部</dc:creator>
  <cp:keywords>储能项目, 技术管理, 月度汇报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