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45093" w14:textId="77777777" w:rsidR="00D518DF" w:rsidRDefault="002F06DF">
      <w:pPr>
        <w:jc w:val="center"/>
        <w:rPr>
          <w:rFonts w:ascii="方正小标宋简体" w:eastAsia="方正小标宋简体" w:hAnsi="方正小标宋简体" w:cs="方正小标宋简体"/>
          <w:b/>
          <w:bCs/>
          <w:sz w:val="28"/>
          <w:szCs w:val="28"/>
        </w:rPr>
      </w:pPr>
      <w:r>
        <w:rPr>
          <w:rFonts w:ascii="仿宋" w:eastAsia="仿宋" w:hAnsi="仿宋" w:cs="仿宋" w:hint="eastAsia"/>
          <w:b/>
          <w:bCs/>
          <w:sz w:val="28"/>
          <w:szCs w:val="28"/>
        </w:rPr>
        <w:t>中铁五局宜涪鹤峰隧道项目隧道风机空气治理智能操控系统价格清单</w:t>
      </w:r>
    </w:p>
    <w:tbl>
      <w:tblPr>
        <w:tblW w:w="13855" w:type="dxa"/>
        <w:jc w:val="center"/>
        <w:tblLook w:val="04A0" w:firstRow="1" w:lastRow="0" w:firstColumn="1" w:lastColumn="0" w:noHBand="0" w:noVBand="1"/>
      </w:tblPr>
      <w:tblGrid>
        <w:gridCol w:w="640"/>
        <w:gridCol w:w="2224"/>
        <w:gridCol w:w="7268"/>
        <w:gridCol w:w="640"/>
        <w:gridCol w:w="640"/>
        <w:gridCol w:w="1161"/>
        <w:gridCol w:w="641"/>
        <w:gridCol w:w="641"/>
      </w:tblGrid>
      <w:tr w:rsidR="00BD2A7F" w14:paraId="2ABAA283" w14:textId="77777777" w:rsidTr="00BD2A7F">
        <w:trPr>
          <w:tblHeade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B0940" w14:textId="77777777" w:rsidR="00BD2A7F" w:rsidRDefault="00BD2A7F">
            <w:pPr>
              <w:widowControl/>
              <w:snapToGrid w:val="0"/>
              <w:jc w:val="center"/>
              <w:textAlignment w:val="center"/>
              <w:rPr>
                <w:rFonts w:ascii="微软雅黑" w:eastAsia="微软雅黑" w:hAnsi="微软雅黑" w:cs="微软雅黑"/>
                <w:b/>
                <w:bCs/>
                <w:sz w:val="24"/>
              </w:rPr>
            </w:pPr>
            <w:r>
              <w:rPr>
                <w:rFonts w:ascii="微软雅黑" w:eastAsia="微软雅黑" w:hAnsi="微软雅黑" w:cs="微软雅黑" w:hint="eastAsia"/>
                <w:b/>
                <w:bCs/>
                <w:kern w:val="0"/>
                <w:sz w:val="24"/>
                <w:lang w:bidi="ar"/>
              </w:rPr>
              <w:t>序号</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DDCDD8" w14:textId="77777777" w:rsidR="00BD2A7F" w:rsidRDefault="00BD2A7F">
            <w:pPr>
              <w:widowControl/>
              <w:snapToGrid w:val="0"/>
              <w:jc w:val="center"/>
              <w:textAlignment w:val="center"/>
              <w:rPr>
                <w:rFonts w:ascii="微软雅黑" w:eastAsia="微软雅黑" w:hAnsi="微软雅黑" w:cs="微软雅黑"/>
                <w:b/>
                <w:bCs/>
                <w:sz w:val="24"/>
              </w:rPr>
            </w:pPr>
            <w:r>
              <w:rPr>
                <w:rFonts w:ascii="微软雅黑" w:eastAsia="微软雅黑" w:hAnsi="微软雅黑" w:cs="微软雅黑" w:hint="eastAsia"/>
                <w:b/>
                <w:bCs/>
                <w:kern w:val="0"/>
                <w:sz w:val="24"/>
                <w:lang w:bidi="ar"/>
              </w:rPr>
              <w:t>名称</w:t>
            </w:r>
          </w:p>
        </w:tc>
        <w:tc>
          <w:tcPr>
            <w:tcW w:w="7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EB929" w14:textId="77777777" w:rsidR="00BD2A7F" w:rsidRDefault="00BD2A7F">
            <w:pPr>
              <w:widowControl/>
              <w:snapToGrid w:val="0"/>
              <w:jc w:val="center"/>
              <w:textAlignment w:val="center"/>
              <w:rPr>
                <w:rFonts w:ascii="微软雅黑" w:eastAsia="微软雅黑" w:hAnsi="微软雅黑" w:cs="微软雅黑"/>
                <w:b/>
                <w:bCs/>
                <w:sz w:val="24"/>
              </w:rPr>
            </w:pPr>
            <w:r>
              <w:rPr>
                <w:rFonts w:ascii="微软雅黑" w:eastAsia="微软雅黑" w:hAnsi="微软雅黑" w:cs="微软雅黑" w:hint="eastAsia"/>
                <w:b/>
                <w:bCs/>
                <w:kern w:val="0"/>
                <w:sz w:val="24"/>
                <w:lang w:bidi="ar"/>
              </w:rPr>
              <w:t>服务详情</w:t>
            </w:r>
          </w:p>
        </w:tc>
        <w:tc>
          <w:tcPr>
            <w:tcW w:w="6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7571FD" w14:textId="77777777" w:rsidR="00BD2A7F" w:rsidRDefault="00BD2A7F">
            <w:pPr>
              <w:widowControl/>
              <w:snapToGrid w:val="0"/>
              <w:jc w:val="center"/>
              <w:textAlignment w:val="center"/>
              <w:rPr>
                <w:rFonts w:ascii="微软雅黑" w:eastAsia="微软雅黑" w:hAnsi="微软雅黑" w:cs="微软雅黑"/>
                <w:b/>
                <w:bCs/>
                <w:sz w:val="24"/>
              </w:rPr>
            </w:pPr>
            <w:r>
              <w:rPr>
                <w:rFonts w:ascii="微软雅黑" w:eastAsia="微软雅黑" w:hAnsi="微软雅黑" w:cs="微软雅黑" w:hint="eastAsia"/>
                <w:b/>
                <w:bCs/>
                <w:kern w:val="0"/>
                <w:sz w:val="24"/>
                <w:lang w:bidi="ar"/>
              </w:rPr>
              <w:t>数量</w:t>
            </w:r>
          </w:p>
        </w:tc>
        <w:tc>
          <w:tcPr>
            <w:tcW w:w="6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1A4BD" w14:textId="77777777" w:rsidR="00BD2A7F" w:rsidRDefault="00BD2A7F">
            <w:pPr>
              <w:widowControl/>
              <w:snapToGrid w:val="0"/>
              <w:jc w:val="center"/>
              <w:textAlignment w:val="center"/>
              <w:rPr>
                <w:rFonts w:ascii="微软雅黑" w:eastAsia="微软雅黑" w:hAnsi="微软雅黑" w:cs="微软雅黑"/>
                <w:b/>
                <w:bCs/>
                <w:sz w:val="24"/>
              </w:rPr>
            </w:pPr>
            <w:r>
              <w:rPr>
                <w:rFonts w:ascii="微软雅黑" w:eastAsia="微软雅黑" w:hAnsi="微软雅黑" w:cs="微软雅黑" w:hint="eastAsia"/>
                <w:b/>
                <w:bCs/>
                <w:kern w:val="0"/>
                <w:sz w:val="24"/>
                <w:lang w:bidi="ar"/>
              </w:rPr>
              <w:t>单位</w:t>
            </w:r>
          </w:p>
        </w:tc>
        <w:tc>
          <w:tcPr>
            <w:tcW w:w="11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221B2C" w14:textId="77777777" w:rsidR="00BD2A7F" w:rsidRDefault="00BD2A7F">
            <w:pPr>
              <w:widowControl/>
              <w:snapToGrid w:val="0"/>
              <w:jc w:val="center"/>
              <w:textAlignment w:val="center"/>
              <w:rPr>
                <w:rFonts w:ascii="微软雅黑" w:eastAsia="微软雅黑" w:hAnsi="微软雅黑" w:cs="微软雅黑"/>
                <w:b/>
                <w:bCs/>
                <w:kern w:val="0"/>
                <w:sz w:val="24"/>
                <w:lang w:bidi="ar"/>
              </w:rPr>
            </w:pPr>
            <w:r>
              <w:rPr>
                <w:rFonts w:ascii="微软雅黑" w:eastAsia="微软雅黑" w:hAnsi="微软雅黑" w:cs="微软雅黑" w:hint="eastAsia"/>
                <w:b/>
                <w:bCs/>
                <w:kern w:val="0"/>
                <w:sz w:val="24"/>
                <w:lang w:bidi="ar"/>
              </w:rPr>
              <w:t>含税单价</w:t>
            </w:r>
          </w:p>
          <w:p w14:paraId="32AC42A5" w14:textId="77777777" w:rsidR="00BD2A7F" w:rsidRDefault="00BD2A7F">
            <w:pPr>
              <w:widowControl/>
              <w:snapToGrid w:val="0"/>
              <w:jc w:val="center"/>
              <w:textAlignment w:val="center"/>
              <w:rPr>
                <w:rFonts w:ascii="微软雅黑" w:eastAsia="微软雅黑" w:hAnsi="微软雅黑" w:cs="微软雅黑"/>
                <w:b/>
                <w:bCs/>
                <w:kern w:val="0"/>
                <w:sz w:val="24"/>
                <w:lang w:bidi="ar"/>
              </w:rPr>
            </w:pPr>
            <w:r>
              <w:rPr>
                <w:rFonts w:ascii="微软雅黑" w:eastAsia="微软雅黑" w:hAnsi="微软雅黑" w:cs="微软雅黑" w:hint="eastAsia"/>
                <w:b/>
                <w:bCs/>
                <w:kern w:val="0"/>
                <w:sz w:val="24"/>
                <w:lang w:bidi="ar"/>
              </w:rPr>
              <w:t>（元）</w:t>
            </w:r>
          </w:p>
        </w:tc>
        <w:tc>
          <w:tcPr>
            <w:tcW w:w="641" w:type="dxa"/>
            <w:tcBorders>
              <w:top w:val="single" w:sz="4" w:space="0" w:color="000000"/>
              <w:left w:val="single" w:sz="4" w:space="0" w:color="000000"/>
              <w:bottom w:val="single" w:sz="4" w:space="0" w:color="000000"/>
              <w:right w:val="single" w:sz="4" w:space="0" w:color="000000"/>
            </w:tcBorders>
            <w:shd w:val="clear" w:color="auto" w:fill="FFFFFF"/>
          </w:tcPr>
          <w:p w14:paraId="331B4B3E" w14:textId="0E81CA4F" w:rsidR="00BD2A7F" w:rsidRDefault="00BD2A7F">
            <w:pPr>
              <w:widowControl/>
              <w:snapToGrid w:val="0"/>
              <w:jc w:val="center"/>
              <w:textAlignment w:val="center"/>
              <w:rPr>
                <w:rFonts w:ascii="微软雅黑" w:eastAsia="微软雅黑" w:hAnsi="微软雅黑" w:cs="微软雅黑"/>
                <w:b/>
                <w:bCs/>
                <w:kern w:val="0"/>
                <w:sz w:val="24"/>
                <w:lang w:bidi="ar"/>
              </w:rPr>
            </w:pPr>
            <w:r>
              <w:rPr>
                <w:rFonts w:ascii="微软雅黑" w:eastAsia="微软雅黑" w:hAnsi="微软雅黑" w:cs="微软雅黑" w:hint="eastAsia"/>
                <w:b/>
                <w:bCs/>
                <w:kern w:val="0"/>
                <w:sz w:val="24"/>
                <w:lang w:bidi="ar"/>
              </w:rPr>
              <w:t>对应税率</w:t>
            </w:r>
          </w:p>
        </w:tc>
        <w:tc>
          <w:tcPr>
            <w:tcW w:w="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05CF90" w14:textId="54649E57" w:rsidR="00BD2A7F" w:rsidRDefault="00BD2A7F">
            <w:pPr>
              <w:widowControl/>
              <w:snapToGrid w:val="0"/>
              <w:jc w:val="center"/>
              <w:textAlignment w:val="center"/>
              <w:rPr>
                <w:rFonts w:ascii="微软雅黑" w:eastAsia="微软雅黑" w:hAnsi="微软雅黑" w:cs="微软雅黑"/>
                <w:b/>
                <w:bCs/>
                <w:kern w:val="0"/>
                <w:sz w:val="24"/>
                <w:lang w:bidi="ar"/>
              </w:rPr>
            </w:pPr>
          </w:p>
        </w:tc>
      </w:tr>
      <w:tr w:rsidR="00BD2A7F" w14:paraId="43DFBB5D"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7F01B"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1</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094B3A"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AI环境策略智能体</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4E47A"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基于深度学习、强化学习算法， 实现风机精准调频、根据多个目标值进行全局寻优控制，需搭配精准控风智能体协作。</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2E9A56"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1</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FE7A96"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个</w:t>
            </w:r>
          </w:p>
        </w:tc>
        <w:tc>
          <w:tcPr>
            <w:tcW w:w="1161" w:type="dxa"/>
            <w:vMerge w:val="restart"/>
            <w:tcBorders>
              <w:top w:val="single" w:sz="4" w:space="0" w:color="000000"/>
              <w:left w:val="single" w:sz="4" w:space="0" w:color="000000"/>
              <w:right w:val="single" w:sz="4" w:space="0" w:color="000000"/>
            </w:tcBorders>
            <w:shd w:val="clear" w:color="auto" w:fill="auto"/>
            <w:vAlign w:val="center"/>
          </w:tcPr>
          <w:p w14:paraId="551C5F09" w14:textId="13DD7A9C" w:rsidR="00BD2A7F" w:rsidRDefault="00BD2A7F">
            <w:pPr>
              <w:widowControl/>
              <w:snapToGrid w:val="0"/>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right w:val="single" w:sz="4" w:space="0" w:color="000000"/>
            </w:tcBorders>
          </w:tcPr>
          <w:p w14:paraId="78224EC1"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9B26AE" w14:textId="392268FC"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69EC9238"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D1884"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2</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5E0473"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AI精准控风智能体</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2EA93E"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隧道施工专用AI精准控风智能体，专为掌子面掘进、爆破出渣、施工扬尘与有害气体治理研发。依托环境气体、粉尘、温湿度、瓦斯浓度实时数据，结合CFD风流仿真与AI强化学习模型，动态自适应调整风机转速与接力通风策略，精准消除掌子面通风死角，杜绝瓦斯、CO积聚风险，实现施工期安全通风、按需送风、节能降尘，适配隧道动态掘进施工全流程。</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E4115D"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1</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1D713"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个</w:t>
            </w:r>
          </w:p>
        </w:tc>
        <w:tc>
          <w:tcPr>
            <w:tcW w:w="1161" w:type="dxa"/>
            <w:vMerge/>
            <w:tcBorders>
              <w:left w:val="single" w:sz="4" w:space="0" w:color="000000"/>
              <w:right w:val="single" w:sz="4" w:space="0" w:color="000000"/>
            </w:tcBorders>
            <w:shd w:val="clear" w:color="auto" w:fill="auto"/>
            <w:vAlign w:val="center"/>
          </w:tcPr>
          <w:p w14:paraId="31D5764F"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left w:val="single" w:sz="4" w:space="0" w:color="000000"/>
              <w:right w:val="single" w:sz="4" w:space="0" w:color="000000"/>
            </w:tcBorders>
          </w:tcPr>
          <w:p w14:paraId="0A7C53A1" w14:textId="046381F0"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6</w:t>
            </w:r>
            <w:r>
              <w:rPr>
                <w:rFonts w:ascii="宋体" w:eastAsia="宋体" w:hAnsi="宋体" w:cs="宋体"/>
                <w:color w:val="08090C"/>
                <w:kern w:val="0"/>
                <w:szCs w:val="21"/>
                <w:lang w:bidi="ar"/>
              </w:rPr>
              <w:t>%</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8ABB57" w14:textId="57343FB1"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6F286568"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59DAEA"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3</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A1E37"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隧道大气治理操作系统平台</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C2AD5E"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隧道大气治理操作系统平台是整套通风系统的顶层管控中枢，对接防爆四合一检测仪、研华 ECU 网关、工业工控机、AI 算法服务器与工业路由器，统一采集隧道 CO、氧气、粉尘、风机工况全量数据；依托 AI 通风算法自动输出风机调速策略，实现大气污染实时监测、超标预警、智能通风降污、能耗统计、支持本地监控与远程云端访问，构建隧道大气环境闭环智能治理体系。</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C2EC54"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1</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363E0"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套</w:t>
            </w:r>
          </w:p>
        </w:tc>
        <w:tc>
          <w:tcPr>
            <w:tcW w:w="1161" w:type="dxa"/>
            <w:vMerge/>
            <w:tcBorders>
              <w:left w:val="single" w:sz="4" w:space="0" w:color="000000"/>
              <w:bottom w:val="single" w:sz="4" w:space="0" w:color="000000"/>
              <w:right w:val="single" w:sz="4" w:space="0" w:color="000000"/>
            </w:tcBorders>
            <w:shd w:val="clear" w:color="auto" w:fill="auto"/>
            <w:vAlign w:val="center"/>
          </w:tcPr>
          <w:p w14:paraId="43F87609"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left w:val="single" w:sz="4" w:space="0" w:color="000000"/>
              <w:bottom w:val="single" w:sz="4" w:space="0" w:color="000000"/>
              <w:right w:val="single" w:sz="4" w:space="0" w:color="000000"/>
            </w:tcBorders>
          </w:tcPr>
          <w:p w14:paraId="5F55D815"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DF77A" w14:textId="5EA0F14C"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777B86A8"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CAC5F"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4</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980858"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自控工程师实施费用</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495E86"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自控工程师实施服务费：含现场设备接线调试、研华网关协议对接、风机控制逻辑编程、AI 服务器通讯联调、四合一检测仪数据接入、隧道大气治理平台组态、系统联调试运行、竣工交付培训全流程人工；按资深自控工程师人天计费，覆盖现场差旅、调试工具、售后现场整改服务。</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B49986"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5</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4BAD96" w14:textId="77777777" w:rsidR="00BD2A7F" w:rsidRDefault="00BD2A7F">
            <w:pPr>
              <w:widowControl/>
              <w:snapToGrid w:val="0"/>
              <w:jc w:val="left"/>
              <w:textAlignment w:val="center"/>
              <w:rPr>
                <w:rFonts w:ascii="宋体" w:eastAsia="宋体" w:hAnsi="宋体" w:cs="宋体"/>
                <w:color w:val="000000"/>
              </w:rPr>
            </w:pPr>
            <w:r>
              <w:rPr>
                <w:rFonts w:ascii="宋体" w:eastAsia="宋体" w:hAnsi="宋体" w:cs="宋体" w:hint="eastAsia"/>
                <w:color w:val="000000"/>
              </w:rPr>
              <w:t>天</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908D8" w14:textId="32B5603B" w:rsidR="00BD2A7F" w:rsidRDefault="00BD2A7F">
            <w:pPr>
              <w:widowControl/>
              <w:snapToGrid w:val="0"/>
              <w:jc w:val="left"/>
              <w:textAlignment w:val="center"/>
              <w:rPr>
                <w:rFonts w:ascii="宋体" w:eastAsia="宋体" w:hAnsi="宋体" w:cs="宋体"/>
                <w:color w:val="000000"/>
              </w:rPr>
            </w:pPr>
          </w:p>
        </w:tc>
        <w:tc>
          <w:tcPr>
            <w:tcW w:w="641" w:type="dxa"/>
            <w:tcBorders>
              <w:top w:val="single" w:sz="4" w:space="0" w:color="000000"/>
              <w:left w:val="single" w:sz="4" w:space="0" w:color="000000"/>
              <w:bottom w:val="single" w:sz="4" w:space="0" w:color="000000"/>
              <w:right w:val="single" w:sz="4" w:space="0" w:color="000000"/>
            </w:tcBorders>
          </w:tcPr>
          <w:p w14:paraId="3783B045" w14:textId="5A2E704B" w:rsidR="00BD2A7F" w:rsidRDefault="00BD2A7F">
            <w:pPr>
              <w:widowControl/>
              <w:snapToGrid w:val="0"/>
              <w:jc w:val="left"/>
              <w:textAlignment w:val="center"/>
              <w:rPr>
                <w:rFonts w:ascii="宋体" w:eastAsia="宋体" w:hAnsi="宋体" w:cs="宋体"/>
                <w:color w:val="000000"/>
              </w:rPr>
            </w:pPr>
            <w:r>
              <w:rPr>
                <w:rFonts w:ascii="宋体" w:eastAsia="宋体" w:hAnsi="宋体" w:cs="宋体" w:hint="eastAsia"/>
                <w:color w:val="000000"/>
              </w:rPr>
              <w:t>6</w:t>
            </w:r>
            <w:r>
              <w:rPr>
                <w:rFonts w:ascii="宋体" w:eastAsia="宋体" w:hAnsi="宋体" w:cs="宋体"/>
                <w:color w:val="000000"/>
              </w:rPr>
              <w:t>%</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DA7DBF" w14:textId="7B4F97E9" w:rsidR="00BD2A7F" w:rsidRDefault="00BD2A7F">
            <w:pPr>
              <w:widowControl/>
              <w:snapToGrid w:val="0"/>
              <w:jc w:val="left"/>
              <w:textAlignment w:val="center"/>
              <w:rPr>
                <w:rFonts w:ascii="宋体" w:eastAsia="宋体" w:hAnsi="宋体" w:cs="宋体"/>
                <w:color w:val="000000"/>
              </w:rPr>
            </w:pPr>
          </w:p>
        </w:tc>
      </w:tr>
      <w:tr w:rsidR="00BD2A7F" w14:paraId="680E241E"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77E6FA"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5</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A3F9F4"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intel酷睿i7算法工控机(小型)</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CACB21"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Intel HDGraphics5500显卡、8G DDR3L 内存、128G固态硬盘，作为现场边缘控制终端，高稳定工业硬件架构适配隧道严苛环境，接收服务器下发的 AI 控制指令，本地采集风机电流、转速、风门、隧道环境传感器数据，实现风机就地闭环控制、故障实时上报、本地断网兜底运行。</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82D711" w14:textId="77777777" w:rsidR="00BD2A7F" w:rsidRDefault="00BD2A7F">
            <w:pPr>
              <w:widowControl/>
              <w:snapToGrid w:val="0"/>
              <w:jc w:val="center"/>
              <w:textAlignment w:val="center"/>
              <w:rPr>
                <w:rFonts w:ascii="宋体" w:eastAsia="宋体" w:hAnsi="宋体" w:cs="宋体"/>
                <w:color w:val="08090C"/>
                <w:szCs w:val="21"/>
              </w:rPr>
            </w:pPr>
            <w:r>
              <w:rPr>
                <w:rFonts w:ascii="宋体" w:eastAsia="宋体" w:hAnsi="宋体" w:cs="宋体" w:hint="eastAsia"/>
                <w:color w:val="08090C"/>
                <w:kern w:val="0"/>
                <w:szCs w:val="21"/>
                <w:lang w:bidi="ar"/>
              </w:rPr>
              <w:t>1</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2E7AB" w14:textId="77777777" w:rsidR="00BD2A7F" w:rsidRDefault="00BD2A7F">
            <w:pPr>
              <w:widowControl/>
              <w:snapToGrid w:val="0"/>
              <w:jc w:val="left"/>
              <w:textAlignment w:val="center"/>
              <w:rPr>
                <w:rFonts w:ascii="宋体" w:eastAsia="宋体" w:hAnsi="宋体" w:cs="宋体"/>
                <w:color w:val="08090C"/>
                <w:szCs w:val="21"/>
              </w:rPr>
            </w:pPr>
            <w:r>
              <w:rPr>
                <w:rFonts w:ascii="宋体" w:eastAsia="宋体" w:hAnsi="宋体" w:cs="宋体" w:hint="eastAsia"/>
                <w:color w:val="08090C"/>
                <w:kern w:val="0"/>
                <w:szCs w:val="21"/>
                <w:lang w:bidi="ar"/>
              </w:rPr>
              <w:t>台</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78385" w14:textId="73397BB1"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000ED89E" w14:textId="01B90879" w:rsidR="00BD2A7F" w:rsidRDefault="00BD2A7F">
            <w:pPr>
              <w:widowControl/>
              <w:snapToGrid w:val="0"/>
              <w:jc w:val="left"/>
              <w:textAlignment w:val="center"/>
              <w:rPr>
                <w:rFonts w:ascii="仿宋" w:eastAsia="仿宋" w:hAnsi="仿宋" w:cs="仿宋"/>
                <w:b/>
                <w:bCs/>
                <w:szCs w:val="21"/>
              </w:rPr>
            </w:pPr>
            <w:r>
              <w:rPr>
                <w:rFonts w:ascii="仿宋" w:eastAsia="仿宋" w:hAnsi="仿宋" w:cs="仿宋" w:hint="eastAsia"/>
                <w:b/>
                <w:bCs/>
                <w:szCs w:val="21"/>
              </w:rPr>
              <w:t>1</w:t>
            </w:r>
            <w:r>
              <w:rPr>
                <w:rFonts w:ascii="仿宋" w:eastAsia="仿宋" w:hAnsi="仿宋" w:cs="仿宋"/>
                <w:b/>
                <w:bCs/>
                <w:szCs w:val="21"/>
              </w:rPr>
              <w:t>3%</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BD5DA" w14:textId="520E0CD3" w:rsidR="00BD2A7F" w:rsidRDefault="00BD2A7F">
            <w:pPr>
              <w:widowControl/>
              <w:snapToGrid w:val="0"/>
              <w:jc w:val="left"/>
              <w:textAlignment w:val="center"/>
              <w:rPr>
                <w:rFonts w:ascii="宋体" w:eastAsia="宋体" w:hAnsi="宋体" w:cs="宋体"/>
                <w:b/>
                <w:bCs/>
                <w:color w:val="08090C"/>
                <w:kern w:val="0"/>
                <w:szCs w:val="21"/>
                <w:lang w:bidi="ar"/>
              </w:rPr>
            </w:pPr>
            <w:r>
              <w:rPr>
                <w:rFonts w:ascii="仿宋" w:eastAsia="仿宋" w:hAnsi="仿宋" w:cs="仿宋" w:hint="eastAsia"/>
                <w:b/>
                <w:bCs/>
                <w:szCs w:val="21"/>
              </w:rPr>
              <w:t>2年质保终身技术</w:t>
            </w:r>
            <w:r>
              <w:rPr>
                <w:rFonts w:ascii="仿宋" w:eastAsia="仿宋" w:hAnsi="仿宋" w:cs="仿宋" w:hint="eastAsia"/>
                <w:b/>
                <w:bCs/>
                <w:szCs w:val="21"/>
              </w:rPr>
              <w:lastRenderedPageBreak/>
              <w:t>支持（包含一次上门维修）</w:t>
            </w:r>
          </w:p>
        </w:tc>
      </w:tr>
      <w:tr w:rsidR="00BD2A7F" w14:paraId="66F72BC2"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CA6BC5"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lastRenderedPageBreak/>
              <w:t>6</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FC8333"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Philips 飞利浦</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6E1BF1"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24英寸120hz显示器IPS低蓝光</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5EF72"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41DD50"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台</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D75DB" w14:textId="7F4B2158"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057D29CC" w14:textId="2592488C"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r>
              <w:rPr>
                <w:rFonts w:ascii="宋体" w:eastAsia="宋体" w:hAnsi="宋体" w:cs="宋体"/>
                <w:color w:val="08090C"/>
                <w:kern w:val="0"/>
                <w:szCs w:val="21"/>
                <w:lang w:bidi="ar"/>
              </w:rPr>
              <w:t>3%</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677DCE" w14:textId="5498D055"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7F73BDE1"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FA6DA1"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7</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DD96A1"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研华网关</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7F28C4"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ECU-1051E-R10AAE+适配器</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84699"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2</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520733"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台</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C23EB" w14:textId="004B2A7A"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3147E953" w14:textId="201214E8"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r>
              <w:rPr>
                <w:rFonts w:ascii="宋体" w:eastAsia="宋体" w:hAnsi="宋体" w:cs="宋体"/>
                <w:color w:val="08090C"/>
                <w:kern w:val="0"/>
                <w:szCs w:val="21"/>
                <w:lang w:bidi="ar"/>
              </w:rPr>
              <w:t>3%</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D9002C" w14:textId="2DB91ADA"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32B98A89"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DDECE1"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8</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FB92B3"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四合一气体探测器</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188AC4"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带RS485通讯，四合一气体探测器 检测类型:(粉尘6000ug、可燃100%LEL、一氧化碳1000PPM、硫化氢10OPPM 分辨率1LCD液晶状态显示工作电压DC24V防护等级IP66防爆。</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A9EBA5"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2</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0E75D0"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台</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E8661" w14:textId="5EA94763"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511875F3" w14:textId="70B8BE01"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r>
              <w:rPr>
                <w:rFonts w:ascii="宋体" w:eastAsia="宋体" w:hAnsi="宋体" w:cs="宋体"/>
                <w:color w:val="08090C"/>
                <w:kern w:val="0"/>
                <w:szCs w:val="21"/>
                <w:lang w:bidi="ar"/>
              </w:rPr>
              <w:t>3%</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886AB8" w14:textId="2ECEDD9C"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61E73767"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25B207"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9</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326063"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专业路由器</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2D9BBA"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工业级专业路由器，双链路冗余传输，支持有线 / 4G/5G 多网备份，具备 EMC 强抗干扰、宽温防尘工业防护，适配隧道复杂电磁环境。负责现场工控机、网关、气体检测仪与 AI 算法服务器的数据路由转发，保障风机监测、控制指令稳定低延迟传输，支持 VPN 加密、远程运维，实现整套通风系统不间 断联网通信。</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4B39DE"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7D1DB"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台</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0AE16" w14:textId="1F247C3B"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511FA785" w14:textId="7A5E2645"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r>
              <w:rPr>
                <w:rFonts w:ascii="宋体" w:eastAsia="宋体" w:hAnsi="宋体" w:cs="宋体"/>
                <w:color w:val="08090C"/>
                <w:kern w:val="0"/>
                <w:szCs w:val="21"/>
                <w:lang w:bidi="ar"/>
              </w:rPr>
              <w:t>3%</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50ED4" w14:textId="3271C1AC"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18BA918A"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04F3C4"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10</w:t>
            </w:r>
          </w:p>
        </w:tc>
        <w:tc>
          <w:tcPr>
            <w:tcW w:w="22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CCDF7"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全套电气辅材</w:t>
            </w:r>
          </w:p>
        </w:tc>
        <w:tc>
          <w:tcPr>
            <w:tcW w:w="7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7CD342"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规格型号为继电器、电线、端子、安装耗材等，满足整套改造安装需求。</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B9AC3"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72493"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套</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358BC" w14:textId="55BEAE70"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7C691BDB" w14:textId="08EF134A"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w:t>
            </w:r>
            <w:r>
              <w:rPr>
                <w:rFonts w:ascii="宋体" w:eastAsia="宋体" w:hAnsi="宋体" w:cs="宋体"/>
                <w:color w:val="08090C"/>
                <w:kern w:val="0"/>
                <w:szCs w:val="21"/>
                <w:lang w:bidi="ar"/>
              </w:rPr>
              <w:t>3%</w:t>
            </w: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06DDCE" w14:textId="466A7075"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09AEE3E7"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E4490"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11</w:t>
            </w:r>
          </w:p>
        </w:tc>
        <w:tc>
          <w:tcPr>
            <w:tcW w:w="949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347F666" w14:textId="1B93F14B"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此报价单为含税金额，具体</w:t>
            </w:r>
            <w:r w:rsidR="002F06DF">
              <w:rPr>
                <w:rFonts w:ascii="宋体" w:eastAsia="宋体" w:hAnsi="宋体" w:cs="宋体" w:hint="eastAsia"/>
                <w:color w:val="08090C"/>
                <w:kern w:val="0"/>
                <w:szCs w:val="21"/>
                <w:lang w:bidi="ar"/>
              </w:rPr>
              <w:t>开票</w:t>
            </w:r>
            <w:r>
              <w:rPr>
                <w:rFonts w:ascii="宋体" w:eastAsia="宋体" w:hAnsi="宋体" w:cs="宋体" w:hint="eastAsia"/>
                <w:color w:val="08090C"/>
                <w:kern w:val="0"/>
                <w:szCs w:val="21"/>
                <w:lang w:bidi="ar"/>
              </w:rPr>
              <w:t>税率</w:t>
            </w:r>
            <w:r w:rsidR="002F06DF">
              <w:rPr>
                <w:rFonts w:ascii="宋体" w:eastAsia="宋体" w:hAnsi="宋体" w:cs="宋体" w:hint="eastAsia"/>
                <w:color w:val="08090C"/>
                <w:kern w:val="0"/>
                <w:szCs w:val="21"/>
                <w:lang w:bidi="ar"/>
              </w:rPr>
              <w:t>，</w:t>
            </w:r>
            <w:r w:rsidR="00BF52F7">
              <w:rPr>
                <w:rFonts w:ascii="宋体" w:eastAsia="宋体" w:hAnsi="宋体" w:cs="宋体" w:hint="eastAsia"/>
                <w:color w:val="08090C"/>
                <w:kern w:val="0"/>
                <w:szCs w:val="21"/>
                <w:lang w:bidi="ar"/>
              </w:rPr>
              <w:t>以对应服务内容后面</w:t>
            </w:r>
            <w:r>
              <w:rPr>
                <w:rFonts w:ascii="宋体" w:eastAsia="宋体" w:hAnsi="宋体" w:cs="宋体" w:hint="eastAsia"/>
                <w:color w:val="08090C"/>
                <w:kern w:val="0"/>
                <w:szCs w:val="21"/>
                <w:lang w:bidi="ar"/>
              </w:rPr>
              <w:t>标注</w:t>
            </w:r>
            <w:r w:rsidR="002F06DF">
              <w:rPr>
                <w:rFonts w:ascii="宋体" w:eastAsia="宋体" w:hAnsi="宋体" w:cs="宋体" w:hint="eastAsia"/>
                <w:color w:val="08090C"/>
                <w:kern w:val="0"/>
                <w:szCs w:val="21"/>
                <w:lang w:bidi="ar"/>
              </w:rPr>
              <w:t>的税率</w:t>
            </w:r>
            <w:r w:rsidR="00BF52F7">
              <w:rPr>
                <w:rFonts w:ascii="宋体" w:eastAsia="宋体" w:hAnsi="宋体" w:cs="宋体" w:hint="eastAsia"/>
                <w:color w:val="08090C"/>
                <w:kern w:val="0"/>
                <w:szCs w:val="21"/>
                <w:lang w:bidi="ar"/>
              </w:rPr>
              <w:t>为准</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3B29E0" w14:textId="77777777" w:rsidR="00BD2A7F" w:rsidRDefault="00BD2A7F">
            <w:pPr>
              <w:widowControl/>
              <w:snapToGrid w:val="0"/>
              <w:jc w:val="center"/>
              <w:textAlignment w:val="center"/>
              <w:rPr>
                <w:rFonts w:ascii="宋体" w:eastAsia="宋体" w:hAnsi="宋体" w:cs="宋体"/>
                <w:color w:val="08090C"/>
                <w:kern w:val="0"/>
                <w:szCs w:val="21"/>
                <w:lang w:bidi="ar"/>
              </w:rPr>
            </w:pP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4F1A9"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8CF9FC" w14:textId="0F36D1B6"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33757428"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2DBA25" w14:textId="675E9B37"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44E74BD0"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CC8336"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12</w:t>
            </w:r>
          </w:p>
        </w:tc>
        <w:tc>
          <w:tcPr>
            <w:tcW w:w="949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BB01223"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不含税金额</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014DA1" w14:textId="77777777" w:rsidR="00BD2A7F" w:rsidRDefault="00BD2A7F">
            <w:pPr>
              <w:widowControl/>
              <w:snapToGrid w:val="0"/>
              <w:jc w:val="center"/>
              <w:textAlignment w:val="center"/>
              <w:rPr>
                <w:rFonts w:ascii="宋体" w:eastAsia="宋体" w:hAnsi="宋体" w:cs="宋体"/>
                <w:color w:val="08090C"/>
                <w:kern w:val="0"/>
                <w:szCs w:val="21"/>
                <w:lang w:bidi="ar"/>
              </w:rPr>
            </w:pP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6C1B73"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01AF2C" w14:textId="4517F07C"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678EF24B"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0AFED1" w14:textId="3BF600F1" w:rsidR="00BD2A7F" w:rsidRDefault="00BD2A7F">
            <w:pPr>
              <w:widowControl/>
              <w:snapToGrid w:val="0"/>
              <w:jc w:val="left"/>
              <w:textAlignment w:val="center"/>
              <w:rPr>
                <w:rFonts w:ascii="宋体" w:eastAsia="宋体" w:hAnsi="宋体" w:cs="宋体"/>
                <w:color w:val="08090C"/>
                <w:kern w:val="0"/>
                <w:szCs w:val="21"/>
                <w:lang w:bidi="ar"/>
              </w:rPr>
            </w:pPr>
          </w:p>
        </w:tc>
      </w:tr>
      <w:tr w:rsidR="00BD2A7F" w14:paraId="787CCA6F" w14:textId="77777777" w:rsidTr="00BD2A7F">
        <w:trPr>
          <w:jc w:val="center"/>
        </w:trPr>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EA8F49" w14:textId="77777777" w:rsidR="00BD2A7F" w:rsidRDefault="00BD2A7F">
            <w:pPr>
              <w:widowControl/>
              <w:snapToGrid w:val="0"/>
              <w:jc w:val="center"/>
              <w:textAlignment w:val="center"/>
              <w:rPr>
                <w:rFonts w:ascii="宋体" w:eastAsia="宋体" w:hAnsi="宋体" w:cs="宋体"/>
                <w:color w:val="08090C"/>
                <w:kern w:val="0"/>
                <w:szCs w:val="21"/>
                <w:lang w:bidi="ar"/>
              </w:rPr>
            </w:pPr>
            <w:r>
              <w:rPr>
                <w:rFonts w:ascii="宋体" w:eastAsia="宋体" w:hAnsi="宋体" w:cs="宋体" w:hint="eastAsia"/>
                <w:color w:val="08090C"/>
                <w:kern w:val="0"/>
                <w:szCs w:val="21"/>
                <w:lang w:bidi="ar"/>
              </w:rPr>
              <w:t>13</w:t>
            </w:r>
          </w:p>
        </w:tc>
        <w:tc>
          <w:tcPr>
            <w:tcW w:w="949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2282D5" w14:textId="77777777" w:rsidR="00BD2A7F" w:rsidRDefault="00BD2A7F">
            <w:pPr>
              <w:widowControl/>
              <w:snapToGrid w:val="0"/>
              <w:jc w:val="left"/>
              <w:textAlignment w:val="center"/>
              <w:rPr>
                <w:rFonts w:ascii="宋体" w:eastAsia="宋体" w:hAnsi="宋体" w:cs="宋体"/>
                <w:color w:val="08090C"/>
                <w:kern w:val="0"/>
                <w:szCs w:val="21"/>
                <w:lang w:bidi="ar"/>
              </w:rPr>
            </w:pPr>
            <w:r>
              <w:rPr>
                <w:rFonts w:ascii="宋体" w:eastAsia="宋体" w:hAnsi="宋体" w:cs="宋体" w:hint="eastAsia"/>
                <w:b/>
                <w:color w:val="08090C"/>
                <w:kern w:val="0"/>
                <w:szCs w:val="21"/>
                <w:lang w:bidi="ar"/>
              </w:rPr>
              <w:t>含税金额合计</w:t>
            </w: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B9F5F" w14:textId="77777777" w:rsidR="00BD2A7F" w:rsidRDefault="00BD2A7F">
            <w:pPr>
              <w:widowControl/>
              <w:snapToGrid w:val="0"/>
              <w:jc w:val="center"/>
              <w:textAlignment w:val="center"/>
              <w:rPr>
                <w:rFonts w:ascii="宋体" w:eastAsia="宋体" w:hAnsi="宋体" w:cs="宋体"/>
                <w:color w:val="08090C"/>
                <w:kern w:val="0"/>
                <w:szCs w:val="21"/>
                <w:lang w:bidi="ar"/>
              </w:rPr>
            </w:pPr>
          </w:p>
        </w:tc>
        <w:tc>
          <w:tcPr>
            <w:tcW w:w="6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69E663"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693654" w14:textId="427195D2"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tcPr>
          <w:p w14:paraId="6EA17DD2" w14:textId="77777777" w:rsidR="00BD2A7F" w:rsidRDefault="00BD2A7F">
            <w:pPr>
              <w:widowControl/>
              <w:snapToGrid w:val="0"/>
              <w:jc w:val="left"/>
              <w:textAlignment w:val="center"/>
              <w:rPr>
                <w:rFonts w:ascii="宋体" w:eastAsia="宋体" w:hAnsi="宋体" w:cs="宋体"/>
                <w:color w:val="08090C"/>
                <w:kern w:val="0"/>
                <w:szCs w:val="21"/>
                <w:lang w:bidi="ar"/>
              </w:rPr>
            </w:pPr>
          </w:p>
        </w:tc>
        <w:tc>
          <w:tcPr>
            <w:tcW w:w="6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D6D965" w14:textId="71F211CB" w:rsidR="00BD2A7F" w:rsidRDefault="00BD2A7F">
            <w:pPr>
              <w:widowControl/>
              <w:snapToGrid w:val="0"/>
              <w:jc w:val="left"/>
              <w:textAlignment w:val="center"/>
              <w:rPr>
                <w:rFonts w:ascii="宋体" w:eastAsia="宋体" w:hAnsi="宋体" w:cs="宋体"/>
                <w:color w:val="08090C"/>
                <w:kern w:val="0"/>
                <w:szCs w:val="21"/>
                <w:lang w:bidi="ar"/>
              </w:rPr>
            </w:pPr>
          </w:p>
        </w:tc>
      </w:tr>
    </w:tbl>
    <w:p w14:paraId="4A2E1E26" w14:textId="77777777" w:rsidR="00D518DF" w:rsidRDefault="00D518DF"/>
    <w:sectPr w:rsidR="00D518DF">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方正舒体"/>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4A4CD7"/>
    <w:rsid w:val="002F06DF"/>
    <w:rsid w:val="00BD2A7F"/>
    <w:rsid w:val="00BF52F7"/>
    <w:rsid w:val="00D518DF"/>
    <w:rsid w:val="00D67EA9"/>
    <w:rsid w:val="544A4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4E2D7"/>
  <w15:docId w15:val="{F03F535F-E47D-4DD6-9490-CE686DE5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孤尽</dc:creator>
  <cp:lastModifiedBy>Administrator</cp:lastModifiedBy>
  <cp:revision>4</cp:revision>
  <dcterms:created xsi:type="dcterms:W3CDTF">2026-08-28T08:47:00Z</dcterms:created>
  <dcterms:modified xsi:type="dcterms:W3CDTF">2026-09-02T10:14:00Z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78182AABE894424683DF2B13BF944C3E_11</vt:lpwstr>
  </property>
  <property fmtid="{D5CDD505-2E9C-101B-9397-08002B2CF9AE}" pid="4" name="KSOTemplateDocerSaveRecord">
    <vt:lpwstr>eyJoZGlkIjoiOTNjODgwN2Y2OTE0N2ZjZjg0YTViMjViNzQwODllNzkiLCJ1c2VySWQiOiI0MTY5NDgzNzcifQ==</vt:lpwstr>
  </property>
</Properties>
</file>