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EB6FF1">
      <w:pPr>
        <w:rPr>
          <w:rFonts w:ascii="Times New Roman" w:hAnsi="Times New Roman" w:eastAsia="宋体" w:cs="Times New Roman"/>
          <w:b/>
          <w:bCs/>
          <w:sz w:val="28"/>
        </w:rPr>
      </w:pPr>
    </w:p>
    <w:p w14:paraId="651F0B8A">
      <w:pPr>
        <w:rPr>
          <w:rFonts w:ascii="Times New Roman" w:hAnsi="Times New Roman" w:eastAsia="宋体" w:cs="Times New Roman"/>
          <w:sz w:val="28"/>
          <w:szCs w:val="28"/>
        </w:rPr>
      </w:pPr>
      <w:r>
        <w:rPr>
          <w:rFonts w:ascii="Times New Roman" w:hAnsi="Times New Roman" w:eastAsia="宋体" w:cs="Times New Roman"/>
          <w:b/>
          <w:bCs/>
          <w:sz w:val="28"/>
        </w:rPr>
        <w:t>合同登记编号：</w:t>
      </w:r>
      <w:r>
        <w:rPr>
          <w:rFonts w:ascii="宋体" w:hAnsi="宋体" w:eastAsia="宋体" w:cs="宋体"/>
          <w:b/>
          <w:color w:val="000000"/>
          <w:sz w:val="32"/>
          <w:szCs w:val="32"/>
          <w:u w:val="single"/>
        </w:rPr>
        <w:t xml:space="preserve">       </w:t>
      </w:r>
      <w:r>
        <w:rPr>
          <w:rFonts w:hint="eastAsia" w:ascii="宋体" w:hAnsi="宋体" w:eastAsia="宋体" w:cs="宋体"/>
          <w:b/>
          <w:color w:val="000000"/>
          <w:sz w:val="32"/>
          <w:szCs w:val="32"/>
          <w:u w:val="single"/>
        </w:rPr>
        <w:t xml:space="preserve">     </w:t>
      </w:r>
      <w:r>
        <w:rPr>
          <w:rFonts w:ascii="宋体" w:hAnsi="宋体" w:eastAsia="宋体" w:cs="宋体"/>
          <w:b/>
          <w:color w:val="000000"/>
          <w:sz w:val="32"/>
          <w:szCs w:val="32"/>
          <w:u w:val="single"/>
        </w:rPr>
        <w:t xml:space="preserve"> </w:t>
      </w:r>
    </w:p>
    <w:p w14:paraId="20911FB1">
      <w:pPr>
        <w:snapToGrid w:val="0"/>
        <w:ind w:left="420"/>
        <w:jc w:val="center"/>
        <w:rPr>
          <w:rFonts w:ascii="Times New Roman" w:hAnsi="Times New Roman" w:eastAsia="华文中宋" w:cs="Times New Roman"/>
          <w:sz w:val="44"/>
          <w:szCs w:val="44"/>
        </w:rPr>
      </w:pPr>
    </w:p>
    <w:p w14:paraId="6FD9BBD8">
      <w:pPr>
        <w:snapToGrid w:val="0"/>
        <w:ind w:left="420"/>
        <w:jc w:val="center"/>
        <w:rPr>
          <w:rFonts w:ascii="Times New Roman" w:hAnsi="Times New Roman" w:eastAsia="华文中宋" w:cs="Times New Roman"/>
          <w:sz w:val="44"/>
          <w:szCs w:val="44"/>
        </w:rPr>
      </w:pPr>
    </w:p>
    <w:p w14:paraId="692B3541">
      <w:pPr>
        <w:snapToGrid w:val="0"/>
        <w:ind w:left="420"/>
        <w:jc w:val="center"/>
        <w:rPr>
          <w:rFonts w:ascii="Times New Roman" w:hAnsi="Times New Roman" w:eastAsia="华文中宋" w:cs="Times New Roman"/>
          <w:sz w:val="44"/>
          <w:szCs w:val="44"/>
        </w:rPr>
      </w:pPr>
    </w:p>
    <w:p w14:paraId="05483CF4">
      <w:pPr>
        <w:snapToGrid w:val="0"/>
        <w:ind w:left="420"/>
        <w:jc w:val="center"/>
        <w:rPr>
          <w:rFonts w:ascii="Times New Roman" w:hAnsi="Times New Roman" w:eastAsia="华文中宋" w:cs="Times New Roman"/>
          <w:sz w:val="44"/>
          <w:szCs w:val="44"/>
        </w:rPr>
      </w:pPr>
    </w:p>
    <w:p w14:paraId="3CF2574F">
      <w:pPr>
        <w:jc w:val="center"/>
        <w:rPr>
          <w:rFonts w:ascii="Times New Roman" w:hAnsi="Times New Roman" w:eastAsia="黑体" w:cs="Times New Roman"/>
          <w:b/>
          <w:sz w:val="44"/>
        </w:rPr>
      </w:pPr>
      <w:r>
        <w:rPr>
          <w:rFonts w:hint="eastAsia" w:ascii="Times New Roman" w:hAnsi="Times New Roman" w:eastAsia="黑体" w:cs="Times New Roman"/>
          <w:b/>
          <w:sz w:val="44"/>
        </w:rPr>
        <w:t>隧道风机空气治理智能操控系统建设</w:t>
      </w:r>
    </w:p>
    <w:p w14:paraId="58765939">
      <w:pPr>
        <w:jc w:val="center"/>
        <w:rPr>
          <w:rFonts w:ascii="Times New Roman" w:hAnsi="Times New Roman" w:eastAsia="黑体" w:cs="Times New Roman"/>
          <w:b/>
          <w:sz w:val="44"/>
        </w:rPr>
      </w:pPr>
      <w:r>
        <w:rPr>
          <w:rFonts w:ascii="Times New Roman" w:hAnsi="Times New Roman" w:eastAsia="黑体" w:cs="Times New Roman"/>
          <w:b/>
          <w:sz w:val="44"/>
        </w:rPr>
        <w:t>技 术 服 务 合 同</w:t>
      </w:r>
    </w:p>
    <w:p w14:paraId="2FF13EB7">
      <w:pPr>
        <w:jc w:val="center"/>
        <w:rPr>
          <w:rFonts w:ascii="Times New Roman" w:hAnsi="Times New Roman" w:eastAsia="黑体" w:cs="Times New Roman"/>
          <w:b/>
          <w:sz w:val="44"/>
        </w:rPr>
      </w:pPr>
    </w:p>
    <w:p w14:paraId="3BCF836D">
      <w:pPr>
        <w:jc w:val="center"/>
        <w:rPr>
          <w:rFonts w:ascii="Times New Roman" w:hAnsi="Times New Roman" w:eastAsia="黑体" w:cs="Times New Roman"/>
          <w:b/>
          <w:sz w:val="44"/>
        </w:rPr>
      </w:pPr>
    </w:p>
    <w:tbl>
      <w:tblPr>
        <w:tblStyle w:val="3"/>
        <w:tblW w:w="7516" w:type="dxa"/>
        <w:jc w:val="center"/>
        <w:tblLayout w:type="fixed"/>
        <w:tblCellMar>
          <w:top w:w="0" w:type="dxa"/>
          <w:left w:w="108" w:type="dxa"/>
          <w:bottom w:w="0" w:type="dxa"/>
          <w:right w:w="108" w:type="dxa"/>
        </w:tblCellMar>
      </w:tblPr>
      <w:tblGrid>
        <w:gridCol w:w="1609"/>
        <w:gridCol w:w="5907"/>
      </w:tblGrid>
      <w:tr w14:paraId="09A09D6F">
        <w:tblPrEx>
          <w:tblCellMar>
            <w:top w:w="0" w:type="dxa"/>
            <w:left w:w="108" w:type="dxa"/>
            <w:bottom w:w="0" w:type="dxa"/>
            <w:right w:w="108" w:type="dxa"/>
          </w:tblCellMar>
        </w:tblPrEx>
        <w:trPr>
          <w:trHeight w:val="528" w:hRule="atLeast"/>
          <w:jc w:val="center"/>
        </w:trPr>
        <w:tc>
          <w:tcPr>
            <w:tcW w:w="1609" w:type="dxa"/>
            <w:vAlign w:val="bottom"/>
          </w:tcPr>
          <w:p w14:paraId="796383ED">
            <w:pPr>
              <w:snapToGrid w:val="0"/>
              <w:rPr>
                <w:rFonts w:ascii="Times New Roman" w:hAnsi="Times New Roman" w:eastAsia="宋体" w:cs="Times New Roman"/>
                <w:b/>
                <w:bCs/>
                <w:sz w:val="28"/>
              </w:rPr>
            </w:pPr>
            <w:r>
              <w:rPr>
                <w:rFonts w:hint="eastAsia" w:ascii="Times New Roman" w:hAnsi="Times New Roman" w:eastAsia="宋体" w:cs="Times New Roman"/>
                <w:b/>
                <w:bCs/>
                <w:sz w:val="28"/>
              </w:rPr>
              <w:t>项目名称：</w:t>
            </w:r>
          </w:p>
        </w:tc>
        <w:tc>
          <w:tcPr>
            <w:tcW w:w="5907" w:type="dxa"/>
            <w:vAlign w:val="bottom"/>
          </w:tcPr>
          <w:p w14:paraId="74670426">
            <w:pPr>
              <w:snapToGrid w:val="0"/>
              <w:jc w:val="left"/>
              <w:rPr>
                <w:rFonts w:ascii="Times New Roman" w:hAnsi="Times New Roman" w:eastAsia="宋体" w:cs="Times New Roman"/>
                <w:b/>
                <w:bCs/>
                <w:sz w:val="28"/>
                <w:highlight w:val="yellow"/>
              </w:rPr>
            </w:pPr>
            <w:r>
              <w:rPr>
                <w:rFonts w:hint="eastAsia" w:ascii="Times New Roman" w:hAnsi="Times New Roman" w:eastAsia="宋体" w:cs="Times New Roman"/>
                <w:b/>
                <w:bCs/>
                <w:sz w:val="28"/>
              </w:rPr>
              <w:t>中铁五局集团有限公司长赣高铁湖南段项目</w:t>
            </w:r>
          </w:p>
        </w:tc>
      </w:tr>
      <w:tr w14:paraId="2E349B91">
        <w:tblPrEx>
          <w:tblCellMar>
            <w:top w:w="0" w:type="dxa"/>
            <w:left w:w="108" w:type="dxa"/>
            <w:bottom w:w="0" w:type="dxa"/>
            <w:right w:w="108" w:type="dxa"/>
          </w:tblCellMar>
        </w:tblPrEx>
        <w:trPr>
          <w:trHeight w:val="528" w:hRule="atLeast"/>
          <w:jc w:val="center"/>
        </w:trPr>
        <w:tc>
          <w:tcPr>
            <w:tcW w:w="1609" w:type="dxa"/>
            <w:vAlign w:val="bottom"/>
          </w:tcPr>
          <w:p w14:paraId="3F294832">
            <w:pPr>
              <w:snapToGrid w:val="0"/>
              <w:jc w:val="center"/>
              <w:rPr>
                <w:rFonts w:ascii="Times New Roman" w:hAnsi="Times New Roman" w:eastAsia="宋体" w:cs="Times New Roman"/>
                <w:b/>
                <w:bCs/>
                <w:sz w:val="28"/>
              </w:rPr>
            </w:pPr>
          </w:p>
        </w:tc>
        <w:tc>
          <w:tcPr>
            <w:tcW w:w="5907" w:type="dxa"/>
            <w:vAlign w:val="bottom"/>
          </w:tcPr>
          <w:p w14:paraId="6D3E1F9D">
            <w:pPr>
              <w:snapToGrid w:val="0"/>
              <w:jc w:val="left"/>
              <w:rPr>
                <w:rFonts w:ascii="Times New Roman" w:hAnsi="Times New Roman" w:eastAsia="宋体" w:cs="Times New Roman"/>
                <w:b/>
                <w:bCs/>
                <w:sz w:val="28"/>
                <w:highlight w:val="yellow"/>
              </w:rPr>
            </w:pPr>
            <w:bookmarkStart w:id="0" w:name="OLE_LINK3"/>
            <w:r>
              <w:rPr>
                <w:rFonts w:ascii="Times New Roman" w:hAnsi="Times New Roman" w:eastAsia="宋体" w:cs="Times New Roman"/>
                <w:b/>
                <w:bCs/>
                <w:sz w:val="28"/>
              </w:rPr>
              <w:t xml:space="preserve"> </w:t>
            </w:r>
            <w:bookmarkEnd w:id="0"/>
          </w:p>
        </w:tc>
      </w:tr>
      <w:tr w14:paraId="51968600">
        <w:tblPrEx>
          <w:tblCellMar>
            <w:top w:w="0" w:type="dxa"/>
            <w:left w:w="108" w:type="dxa"/>
            <w:bottom w:w="0" w:type="dxa"/>
            <w:right w:w="108" w:type="dxa"/>
          </w:tblCellMar>
        </w:tblPrEx>
        <w:trPr>
          <w:trHeight w:val="528" w:hRule="atLeast"/>
          <w:jc w:val="center"/>
        </w:trPr>
        <w:tc>
          <w:tcPr>
            <w:tcW w:w="1609" w:type="dxa"/>
            <w:vAlign w:val="bottom"/>
          </w:tcPr>
          <w:p w14:paraId="72ACA19D">
            <w:pPr>
              <w:snapToGrid w:val="0"/>
              <w:jc w:val="center"/>
              <w:rPr>
                <w:rFonts w:ascii="Times New Roman" w:hAnsi="Times New Roman" w:eastAsia="宋体" w:cs="Times New Roman"/>
                <w:b/>
                <w:bCs/>
                <w:sz w:val="28"/>
              </w:rPr>
            </w:pPr>
          </w:p>
        </w:tc>
        <w:tc>
          <w:tcPr>
            <w:tcW w:w="5907" w:type="dxa"/>
            <w:vAlign w:val="bottom"/>
          </w:tcPr>
          <w:p w14:paraId="35DA2150">
            <w:pPr>
              <w:snapToGrid w:val="0"/>
              <w:rPr>
                <w:rFonts w:ascii="Times New Roman" w:hAnsi="Times New Roman" w:eastAsia="宋体" w:cs="Times New Roman"/>
                <w:b/>
                <w:bCs/>
                <w:sz w:val="28"/>
              </w:rPr>
            </w:pPr>
          </w:p>
        </w:tc>
      </w:tr>
      <w:tr w14:paraId="7BE58AB5">
        <w:tblPrEx>
          <w:tblCellMar>
            <w:top w:w="0" w:type="dxa"/>
            <w:left w:w="108" w:type="dxa"/>
            <w:bottom w:w="0" w:type="dxa"/>
            <w:right w:w="108" w:type="dxa"/>
          </w:tblCellMar>
        </w:tblPrEx>
        <w:trPr>
          <w:trHeight w:val="528" w:hRule="atLeast"/>
          <w:jc w:val="center"/>
        </w:trPr>
        <w:tc>
          <w:tcPr>
            <w:tcW w:w="1609" w:type="dxa"/>
            <w:vAlign w:val="bottom"/>
          </w:tcPr>
          <w:p w14:paraId="714ED06C">
            <w:pPr>
              <w:snapToGrid w:val="0"/>
              <w:jc w:val="center"/>
              <w:rPr>
                <w:rFonts w:ascii="Times New Roman" w:hAnsi="Times New Roman" w:eastAsia="宋体" w:cs="Times New Roman"/>
                <w:b/>
                <w:bCs/>
                <w:sz w:val="28"/>
              </w:rPr>
            </w:pPr>
          </w:p>
        </w:tc>
        <w:tc>
          <w:tcPr>
            <w:tcW w:w="5907" w:type="dxa"/>
            <w:vAlign w:val="bottom"/>
          </w:tcPr>
          <w:p w14:paraId="62476F66">
            <w:pPr>
              <w:snapToGrid w:val="0"/>
              <w:rPr>
                <w:rFonts w:ascii="Times New Roman" w:hAnsi="Times New Roman" w:eastAsia="宋体" w:cs="Times New Roman"/>
                <w:b/>
                <w:bCs/>
                <w:sz w:val="28"/>
              </w:rPr>
            </w:pPr>
          </w:p>
        </w:tc>
      </w:tr>
      <w:tr w14:paraId="127DED16">
        <w:tblPrEx>
          <w:tblCellMar>
            <w:top w:w="0" w:type="dxa"/>
            <w:left w:w="108" w:type="dxa"/>
            <w:bottom w:w="0" w:type="dxa"/>
            <w:right w:w="108" w:type="dxa"/>
          </w:tblCellMar>
        </w:tblPrEx>
        <w:trPr>
          <w:trHeight w:val="528" w:hRule="atLeast"/>
          <w:jc w:val="center"/>
        </w:trPr>
        <w:tc>
          <w:tcPr>
            <w:tcW w:w="1609" w:type="dxa"/>
            <w:vAlign w:val="bottom"/>
          </w:tcPr>
          <w:p w14:paraId="447AA7A5">
            <w:pPr>
              <w:snapToGrid w:val="0"/>
              <w:rPr>
                <w:rFonts w:ascii="Times New Roman" w:hAnsi="Times New Roman" w:eastAsia="宋体" w:cs="Times New Roman"/>
                <w:b/>
                <w:bCs/>
                <w:sz w:val="28"/>
              </w:rPr>
            </w:pPr>
            <w:r>
              <w:rPr>
                <w:rFonts w:ascii="Times New Roman" w:hAnsi="Times New Roman" w:eastAsia="宋体" w:cs="Times New Roman"/>
                <w:b/>
                <w:bCs/>
                <w:sz w:val="28"/>
              </w:rPr>
              <w:t>甲    方：</w:t>
            </w:r>
          </w:p>
        </w:tc>
        <w:tc>
          <w:tcPr>
            <w:tcW w:w="5907" w:type="dxa"/>
            <w:vAlign w:val="bottom"/>
          </w:tcPr>
          <w:p w14:paraId="630C6CE2">
            <w:pPr>
              <w:snapToGrid w:val="0"/>
              <w:rPr>
                <w:rFonts w:ascii="Times New Roman" w:hAnsi="Times New Roman" w:eastAsia="宋体" w:cs="Times New Roman"/>
                <w:b/>
                <w:bCs/>
                <w:sz w:val="28"/>
              </w:rPr>
            </w:pPr>
            <w:bookmarkStart w:id="1" w:name="OLE_LINK2"/>
            <w:r>
              <w:rPr>
                <w:rFonts w:hint="eastAsia" w:ascii="Times New Roman" w:hAnsi="Times New Roman" w:eastAsia="宋体" w:cs="Times New Roman"/>
                <w:b/>
                <w:bCs/>
                <w:sz w:val="28"/>
              </w:rPr>
              <w:t>中铁五局集团有限公司</w:t>
            </w:r>
            <w:bookmarkEnd w:id="1"/>
            <w:r>
              <w:rPr>
                <w:rFonts w:hint="eastAsia" w:ascii="Times New Roman" w:hAnsi="Times New Roman" w:eastAsia="宋体" w:cs="Times New Roman"/>
                <w:b/>
                <w:bCs/>
                <w:sz w:val="28"/>
              </w:rPr>
              <w:t>勘察设计分公司</w:t>
            </w:r>
          </w:p>
        </w:tc>
      </w:tr>
      <w:tr w14:paraId="28DA9B68">
        <w:tblPrEx>
          <w:tblCellMar>
            <w:top w:w="0" w:type="dxa"/>
            <w:left w:w="108" w:type="dxa"/>
            <w:bottom w:w="0" w:type="dxa"/>
            <w:right w:w="108" w:type="dxa"/>
          </w:tblCellMar>
        </w:tblPrEx>
        <w:trPr>
          <w:trHeight w:val="528" w:hRule="atLeast"/>
          <w:jc w:val="center"/>
        </w:trPr>
        <w:tc>
          <w:tcPr>
            <w:tcW w:w="1609" w:type="dxa"/>
            <w:vAlign w:val="bottom"/>
          </w:tcPr>
          <w:p w14:paraId="4EFA8438">
            <w:pPr>
              <w:snapToGrid w:val="0"/>
              <w:jc w:val="center"/>
              <w:rPr>
                <w:rFonts w:ascii="Times New Roman" w:hAnsi="Times New Roman" w:eastAsia="宋体" w:cs="Times New Roman"/>
                <w:b/>
                <w:bCs/>
                <w:sz w:val="28"/>
              </w:rPr>
            </w:pPr>
          </w:p>
        </w:tc>
        <w:tc>
          <w:tcPr>
            <w:tcW w:w="5907" w:type="dxa"/>
            <w:vAlign w:val="bottom"/>
          </w:tcPr>
          <w:p w14:paraId="00428249">
            <w:pPr>
              <w:snapToGrid w:val="0"/>
              <w:rPr>
                <w:rFonts w:ascii="Times New Roman" w:hAnsi="Times New Roman" w:eastAsia="宋体" w:cs="Times New Roman"/>
                <w:b/>
                <w:bCs/>
                <w:sz w:val="28"/>
              </w:rPr>
            </w:pPr>
          </w:p>
        </w:tc>
      </w:tr>
      <w:tr w14:paraId="10A62328">
        <w:tblPrEx>
          <w:tblCellMar>
            <w:top w:w="0" w:type="dxa"/>
            <w:left w:w="108" w:type="dxa"/>
            <w:bottom w:w="0" w:type="dxa"/>
            <w:right w:w="108" w:type="dxa"/>
          </w:tblCellMar>
        </w:tblPrEx>
        <w:trPr>
          <w:trHeight w:val="528" w:hRule="atLeast"/>
          <w:jc w:val="center"/>
        </w:trPr>
        <w:tc>
          <w:tcPr>
            <w:tcW w:w="1609" w:type="dxa"/>
            <w:vAlign w:val="bottom"/>
          </w:tcPr>
          <w:p w14:paraId="2954D0A7">
            <w:pPr>
              <w:snapToGrid w:val="0"/>
              <w:jc w:val="center"/>
              <w:rPr>
                <w:rFonts w:ascii="Times New Roman" w:hAnsi="Times New Roman" w:eastAsia="宋体" w:cs="Times New Roman"/>
                <w:b/>
                <w:bCs/>
                <w:sz w:val="28"/>
              </w:rPr>
            </w:pPr>
          </w:p>
        </w:tc>
        <w:tc>
          <w:tcPr>
            <w:tcW w:w="5907" w:type="dxa"/>
            <w:vAlign w:val="bottom"/>
          </w:tcPr>
          <w:p w14:paraId="426316A6">
            <w:pPr>
              <w:snapToGrid w:val="0"/>
              <w:rPr>
                <w:rFonts w:ascii="Times New Roman" w:hAnsi="Times New Roman" w:eastAsia="宋体" w:cs="Times New Roman"/>
                <w:b/>
                <w:bCs/>
                <w:sz w:val="28"/>
              </w:rPr>
            </w:pPr>
          </w:p>
        </w:tc>
      </w:tr>
      <w:tr w14:paraId="0503D88B">
        <w:tblPrEx>
          <w:tblCellMar>
            <w:top w:w="0" w:type="dxa"/>
            <w:left w:w="108" w:type="dxa"/>
            <w:bottom w:w="0" w:type="dxa"/>
            <w:right w:w="108" w:type="dxa"/>
          </w:tblCellMar>
        </w:tblPrEx>
        <w:trPr>
          <w:trHeight w:val="528" w:hRule="atLeast"/>
          <w:jc w:val="center"/>
        </w:trPr>
        <w:tc>
          <w:tcPr>
            <w:tcW w:w="1609" w:type="dxa"/>
            <w:vAlign w:val="bottom"/>
          </w:tcPr>
          <w:p w14:paraId="1FB0CAFB">
            <w:pPr>
              <w:snapToGrid w:val="0"/>
              <w:rPr>
                <w:rFonts w:ascii="Times New Roman" w:hAnsi="Times New Roman" w:eastAsia="宋体" w:cs="Times New Roman"/>
                <w:b/>
                <w:bCs/>
                <w:sz w:val="28"/>
              </w:rPr>
            </w:pPr>
            <w:r>
              <w:rPr>
                <w:rFonts w:ascii="Times New Roman" w:hAnsi="Times New Roman" w:eastAsia="宋体" w:cs="Times New Roman"/>
                <w:b/>
                <w:bCs/>
                <w:sz w:val="28"/>
              </w:rPr>
              <w:t>乙    方：</w:t>
            </w:r>
          </w:p>
        </w:tc>
        <w:tc>
          <w:tcPr>
            <w:tcW w:w="5907" w:type="dxa"/>
            <w:vAlign w:val="bottom"/>
          </w:tcPr>
          <w:p w14:paraId="6A96A72A">
            <w:pPr>
              <w:snapToGrid w:val="0"/>
              <w:rPr>
                <w:rFonts w:ascii="Times New Roman" w:hAnsi="Times New Roman" w:eastAsia="宋体" w:cs="Times New Roman"/>
                <w:b/>
                <w:bCs/>
                <w:sz w:val="28"/>
              </w:rPr>
            </w:pPr>
            <w:r>
              <w:rPr>
                <w:rFonts w:ascii="Times New Roman" w:hAnsi="Times New Roman" w:eastAsia="宋体" w:cs="Times New Roman"/>
                <w:b/>
                <w:bCs/>
                <w:sz w:val="28"/>
              </w:rPr>
              <w:t>昕彤赋能（长沙）人工智能行业应用系统有限公司</w:t>
            </w:r>
          </w:p>
        </w:tc>
      </w:tr>
    </w:tbl>
    <w:p w14:paraId="51B98891">
      <w:pPr>
        <w:ind w:firstLine="480" w:firstLineChars="200"/>
        <w:rPr>
          <w:rFonts w:ascii="Times New Roman" w:hAnsi="Times New Roman" w:eastAsia="宋体" w:cs="Times New Roman"/>
          <w:sz w:val="24"/>
          <w:szCs w:val="22"/>
        </w:rPr>
      </w:pPr>
    </w:p>
    <w:p w14:paraId="7305340B">
      <w:pPr>
        <w:ind w:firstLine="480" w:firstLineChars="200"/>
        <w:rPr>
          <w:rFonts w:ascii="Times New Roman" w:hAnsi="Times New Roman" w:eastAsia="宋体" w:cs="Times New Roman"/>
          <w:sz w:val="24"/>
          <w:szCs w:val="22"/>
        </w:rPr>
      </w:pPr>
    </w:p>
    <w:p w14:paraId="37DA9FB2">
      <w:pPr>
        <w:ind w:firstLine="480" w:firstLineChars="200"/>
        <w:rPr>
          <w:rFonts w:ascii="Times New Roman" w:hAnsi="Times New Roman" w:eastAsia="宋体" w:cs="Times New Roman"/>
          <w:sz w:val="24"/>
          <w:szCs w:val="22"/>
        </w:rPr>
      </w:pPr>
    </w:p>
    <w:p w14:paraId="58147B30">
      <w:pPr>
        <w:ind w:firstLine="480" w:firstLineChars="200"/>
        <w:rPr>
          <w:rFonts w:ascii="Times New Roman" w:hAnsi="Times New Roman" w:eastAsia="宋体" w:cs="Times New Roman"/>
          <w:sz w:val="24"/>
          <w:szCs w:val="22"/>
        </w:rPr>
      </w:pPr>
    </w:p>
    <w:p w14:paraId="48AF4D3D">
      <w:pPr>
        <w:ind w:firstLine="480" w:firstLineChars="200"/>
        <w:rPr>
          <w:rFonts w:ascii="Times New Roman" w:hAnsi="Times New Roman" w:eastAsia="宋体" w:cs="Times New Roman"/>
          <w:sz w:val="24"/>
          <w:szCs w:val="22"/>
        </w:rPr>
      </w:pPr>
    </w:p>
    <w:tbl>
      <w:tblPr>
        <w:tblStyle w:val="3"/>
        <w:tblW w:w="4406" w:type="dxa"/>
        <w:jc w:val="center"/>
        <w:tblLayout w:type="fixed"/>
        <w:tblCellMar>
          <w:top w:w="0" w:type="dxa"/>
          <w:left w:w="108" w:type="dxa"/>
          <w:bottom w:w="0" w:type="dxa"/>
          <w:right w:w="108" w:type="dxa"/>
        </w:tblCellMar>
      </w:tblPr>
      <w:tblGrid>
        <w:gridCol w:w="1854"/>
        <w:gridCol w:w="2552"/>
      </w:tblGrid>
      <w:tr w14:paraId="5899027E">
        <w:tblPrEx>
          <w:tblCellMar>
            <w:top w:w="0" w:type="dxa"/>
            <w:left w:w="108" w:type="dxa"/>
            <w:bottom w:w="0" w:type="dxa"/>
            <w:right w:w="108" w:type="dxa"/>
          </w:tblCellMar>
        </w:tblPrEx>
        <w:trPr>
          <w:trHeight w:val="567" w:hRule="atLeast"/>
          <w:jc w:val="center"/>
        </w:trPr>
        <w:tc>
          <w:tcPr>
            <w:tcW w:w="1854" w:type="dxa"/>
            <w:vAlign w:val="bottom"/>
          </w:tcPr>
          <w:p w14:paraId="316936EE">
            <w:pPr>
              <w:snapToGrid w:val="0"/>
              <w:jc w:val="right"/>
              <w:rPr>
                <w:rFonts w:ascii="Times New Roman" w:hAnsi="Times New Roman" w:eastAsia="宋体" w:cs="Times New Roman"/>
                <w:b/>
                <w:bCs/>
                <w:sz w:val="28"/>
              </w:rPr>
            </w:pPr>
            <w:r>
              <w:rPr>
                <w:rFonts w:hint="eastAsia" w:ascii="Times New Roman" w:hAnsi="Times New Roman" w:eastAsia="宋体" w:cs="Times New Roman"/>
                <w:b/>
                <w:bCs/>
                <w:sz w:val="28"/>
              </w:rPr>
              <w:t>签订地点：</w:t>
            </w:r>
          </w:p>
        </w:tc>
        <w:tc>
          <w:tcPr>
            <w:tcW w:w="2552" w:type="dxa"/>
            <w:tcBorders>
              <w:bottom w:val="single" w:color="000000" w:sz="12" w:space="0"/>
            </w:tcBorders>
            <w:vAlign w:val="bottom"/>
          </w:tcPr>
          <w:p w14:paraId="6823B43A">
            <w:pPr>
              <w:snapToGrid w:val="0"/>
              <w:jc w:val="center"/>
              <w:rPr>
                <w:rFonts w:ascii="Times New Roman" w:hAnsi="Times New Roman" w:eastAsia="宋体" w:cs="Times New Roman"/>
                <w:b/>
                <w:bCs/>
                <w:sz w:val="28"/>
              </w:rPr>
            </w:pPr>
          </w:p>
        </w:tc>
      </w:tr>
      <w:tr w14:paraId="340F6A10">
        <w:tblPrEx>
          <w:tblCellMar>
            <w:top w:w="0" w:type="dxa"/>
            <w:left w:w="108" w:type="dxa"/>
            <w:bottom w:w="0" w:type="dxa"/>
            <w:right w:w="108" w:type="dxa"/>
          </w:tblCellMar>
        </w:tblPrEx>
        <w:trPr>
          <w:trHeight w:val="567" w:hRule="atLeast"/>
          <w:jc w:val="center"/>
        </w:trPr>
        <w:tc>
          <w:tcPr>
            <w:tcW w:w="1854" w:type="dxa"/>
            <w:vAlign w:val="bottom"/>
          </w:tcPr>
          <w:p w14:paraId="2B91E5C6">
            <w:pPr>
              <w:snapToGrid w:val="0"/>
              <w:jc w:val="right"/>
              <w:rPr>
                <w:rFonts w:ascii="Times New Roman" w:hAnsi="Times New Roman" w:eastAsia="宋体" w:cs="Times New Roman"/>
                <w:b/>
                <w:bCs/>
                <w:sz w:val="28"/>
              </w:rPr>
            </w:pPr>
            <w:r>
              <w:rPr>
                <w:rFonts w:hint="eastAsia" w:ascii="Times New Roman" w:hAnsi="Times New Roman" w:eastAsia="宋体" w:cs="Times New Roman"/>
                <w:b/>
                <w:bCs/>
                <w:sz w:val="28"/>
              </w:rPr>
              <w:t>签订日期：</w:t>
            </w:r>
          </w:p>
        </w:tc>
        <w:tc>
          <w:tcPr>
            <w:tcW w:w="2552" w:type="dxa"/>
            <w:tcBorders>
              <w:top w:val="single" w:color="000000" w:sz="12" w:space="0"/>
              <w:bottom w:val="single" w:color="000000" w:sz="12" w:space="0"/>
            </w:tcBorders>
            <w:vAlign w:val="bottom"/>
          </w:tcPr>
          <w:p w14:paraId="4613EC97">
            <w:pPr>
              <w:snapToGrid w:val="0"/>
              <w:jc w:val="center"/>
              <w:rPr>
                <w:rFonts w:ascii="黑体" w:hAnsi="黑体" w:eastAsia="黑体" w:cs="Times New Roman"/>
                <w:b/>
                <w:bCs/>
                <w:color w:val="FF0000"/>
                <w:sz w:val="28"/>
              </w:rPr>
            </w:pPr>
            <w:r>
              <w:rPr>
                <w:rFonts w:hint="eastAsia" w:ascii="黑体" w:hAnsi="黑体" w:eastAsia="黑体" w:cs="Times New Roman"/>
                <w:b/>
                <w:bCs/>
                <w:color w:val="000000"/>
                <w:sz w:val="28"/>
              </w:rPr>
              <w:t xml:space="preserve"> 年  月  日</w:t>
            </w:r>
          </w:p>
        </w:tc>
      </w:tr>
    </w:tbl>
    <w:p w14:paraId="373B0EE4">
      <w:pPr>
        <w:spacing w:line="370" w:lineRule="exact"/>
        <w:rPr>
          <w:rFonts w:eastAsia="仿宋_GB2312"/>
          <w:szCs w:val="20"/>
        </w:rPr>
        <w:sectPr>
          <w:pgSz w:w="11906" w:h="16838"/>
          <w:pgMar w:top="1440" w:right="1800" w:bottom="1440" w:left="1800" w:header="851" w:footer="992" w:gutter="0"/>
          <w:cols w:space="425" w:num="1"/>
          <w:docGrid w:type="lines" w:linePitch="312" w:charSpace="0"/>
        </w:sectPr>
      </w:pPr>
    </w:p>
    <w:p w14:paraId="77F4F86E">
      <w:pPr>
        <w:autoSpaceDE w:val="0"/>
        <w:autoSpaceDN w:val="0"/>
        <w:spacing w:after="45" w:line="500" w:lineRule="exact"/>
        <w:rPr>
          <w:rFonts w:ascii="仿宋_GB2312" w:hAnsi="仿宋_GB2312" w:eastAsia="仿宋_GB2312" w:cs="仿宋_GB2312"/>
          <w:kern w:val="0"/>
          <w:sz w:val="28"/>
          <w:szCs w:val="28"/>
          <w:u w:val="single"/>
        </w:rPr>
      </w:pPr>
      <w:bookmarkStart w:id="2" w:name="OLE_LINK5"/>
      <w:r>
        <w:rPr>
          <w:rFonts w:hint="eastAsia" w:ascii="仿宋_GB2312" w:hAnsi="仿宋_GB2312" w:eastAsia="仿宋_GB2312" w:cs="仿宋_GB2312"/>
          <w:b/>
          <w:kern w:val="0"/>
          <w:sz w:val="28"/>
          <w:szCs w:val="28"/>
          <w:lang w:val="zh-CN"/>
        </w:rPr>
        <w:t>委托人（甲方）</w:t>
      </w:r>
      <w:bookmarkStart w:id="3" w:name="_Hlk97230680"/>
      <w:r>
        <w:rPr>
          <w:rFonts w:hint="eastAsia" w:ascii="仿宋_GB2312" w:hAnsi="仿宋_GB2312" w:eastAsia="仿宋_GB2312" w:cs="仿宋_GB2312"/>
          <w:b/>
          <w:kern w:val="0"/>
          <w:sz w:val="28"/>
          <w:szCs w:val="28"/>
          <w:lang w:val="zh-CN"/>
        </w:rPr>
        <w:t>：</w:t>
      </w:r>
      <w:r>
        <w:rPr>
          <w:rFonts w:hint="eastAsia" w:ascii="仿宋_GB2312" w:hAnsi="仿宋_GB2312" w:eastAsia="仿宋_GB2312" w:cs="仿宋_GB2312"/>
          <w:b/>
          <w:kern w:val="0"/>
          <w:sz w:val="28"/>
          <w:szCs w:val="28"/>
          <w:u w:val="single"/>
        </w:rPr>
        <w:t xml:space="preserve">   </w:t>
      </w:r>
      <w:r>
        <w:rPr>
          <w:rFonts w:hint="eastAsia" w:ascii="仿宋_GB2312" w:hAnsi="仿宋_GB2312" w:eastAsia="仿宋_GB2312" w:cs="仿宋_GB2312"/>
          <w:snapToGrid w:val="0"/>
          <w:color w:val="000000"/>
          <w:kern w:val="0"/>
          <w:sz w:val="28"/>
          <w:szCs w:val="28"/>
          <w:u w:val="single"/>
          <w:lang w:val="zh-CN"/>
        </w:rPr>
        <w:t>中铁五局集团有限公司</w:t>
      </w:r>
      <w:r>
        <w:rPr>
          <w:rFonts w:hint="eastAsia" w:ascii="仿宋_GB2312" w:hAnsi="仿宋_GB2312" w:eastAsia="仿宋_GB2312" w:cs="仿宋_GB2312"/>
          <w:snapToGrid w:val="0"/>
          <w:color w:val="000000"/>
          <w:kern w:val="0"/>
          <w:sz w:val="28"/>
          <w:szCs w:val="28"/>
          <w:u w:val="single"/>
        </w:rPr>
        <w:t>勘察设计分公司</w:t>
      </w:r>
      <w:r>
        <w:rPr>
          <w:rFonts w:hint="eastAsia" w:ascii="仿宋_GB2312" w:hAnsi="仿宋_GB2312" w:eastAsia="仿宋_GB2312" w:cs="仿宋_GB2312"/>
          <w:bCs/>
          <w:kern w:val="0"/>
          <w:sz w:val="28"/>
          <w:szCs w:val="28"/>
          <w:u w:val="single"/>
        </w:rPr>
        <w:t xml:space="preserve">     </w:t>
      </w:r>
    </w:p>
    <w:bookmarkEnd w:id="3"/>
    <w:p w14:paraId="58D80D04">
      <w:pPr>
        <w:autoSpaceDE w:val="0"/>
        <w:autoSpaceDN w:val="0"/>
        <w:spacing w:after="45" w:line="500" w:lineRule="exact"/>
        <w:jc w:val="left"/>
        <w:rPr>
          <w:rFonts w:ascii="仿宋_GB2312" w:hAnsi="仿宋_GB2312" w:eastAsia="仿宋_GB2312" w:cs="仿宋_GB2312"/>
          <w:kern w:val="0"/>
          <w:sz w:val="28"/>
          <w:szCs w:val="28"/>
        </w:rPr>
      </w:pPr>
      <w:r>
        <w:rPr>
          <w:rFonts w:hint="eastAsia" w:ascii="仿宋_GB2312" w:hAnsi="仿宋_GB2312" w:eastAsia="仿宋_GB2312" w:cs="仿宋_GB2312"/>
          <w:b/>
          <w:kern w:val="0"/>
          <w:sz w:val="28"/>
          <w:szCs w:val="28"/>
          <w:lang w:val="zh-CN"/>
        </w:rPr>
        <w:t>咨询人（乙方）：</w:t>
      </w:r>
      <w:r>
        <w:rPr>
          <w:rFonts w:hint="eastAsia" w:ascii="仿宋_GB2312" w:hAnsi="仿宋_GB2312" w:eastAsia="仿宋_GB2312" w:cs="仿宋_GB2312"/>
          <w:b/>
          <w:kern w:val="0"/>
          <w:sz w:val="28"/>
          <w:szCs w:val="28"/>
          <w:u w:val="single"/>
        </w:rPr>
        <w:t xml:space="preserve">   </w:t>
      </w:r>
      <w:r>
        <w:rPr>
          <w:rFonts w:hint="eastAsia" w:ascii="仿宋_GB2312" w:hAnsi="仿宋_GB2312" w:eastAsia="仿宋_GB2312" w:cs="仿宋_GB2312"/>
          <w:snapToGrid w:val="0"/>
          <w:color w:val="000000"/>
          <w:kern w:val="0"/>
          <w:sz w:val="28"/>
          <w:szCs w:val="28"/>
          <w:u w:val="single"/>
        </w:rPr>
        <w:t xml:space="preserve">昕彤赋能（长沙）人工智能行业应用系统有限公司   </w:t>
      </w:r>
    </w:p>
    <w:p w14:paraId="377F33E9">
      <w:pPr>
        <w:tabs>
          <w:tab w:val="left" w:pos="1418"/>
        </w:tabs>
        <w:spacing w:line="500" w:lineRule="exact"/>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根据《中华人民共和国民法典》及其他有关法律法规，遵守平等、自愿、公平和诚实守信原</w:t>
      </w:r>
      <w:r>
        <w:rPr>
          <w:rFonts w:hint="eastAsia" w:ascii="仿宋_GB2312" w:hAnsi="仿宋_GB2312" w:eastAsia="仿宋_GB2312" w:cs="仿宋_GB2312"/>
          <w:sz w:val="28"/>
          <w:szCs w:val="28"/>
        </w:rPr>
        <w:softHyphen/>
      </w:r>
      <w:r>
        <w:rPr>
          <w:rFonts w:hint="eastAsia" w:ascii="仿宋_GB2312" w:hAnsi="仿宋_GB2312" w:eastAsia="仿宋_GB2312" w:cs="仿宋_GB2312"/>
          <w:sz w:val="28"/>
          <w:szCs w:val="28"/>
        </w:rPr>
        <w:t>则，甲、乙方就</w:t>
      </w:r>
      <w:bookmarkStart w:id="4" w:name="OLE_LINK18"/>
      <w:r>
        <w:rPr>
          <w:rFonts w:hint="eastAsia" w:ascii="仿宋_GB2312" w:hAnsi="仿宋_GB2312" w:eastAsia="仿宋_GB2312" w:cs="仿宋_GB2312"/>
          <w:sz w:val="28"/>
          <w:szCs w:val="28"/>
          <w:u w:val="single"/>
        </w:rPr>
        <w:t xml:space="preserve"> 隧道风机空气治理智能操控系统建设技术服务</w:t>
      </w:r>
      <w:bookmarkEnd w:id="4"/>
      <w:r>
        <w:rPr>
          <w:rFonts w:hint="eastAsia" w:ascii="仿宋_GB2312" w:hAnsi="仿宋_GB2312" w:eastAsia="仿宋_GB2312" w:cs="仿宋_GB2312"/>
          <w:sz w:val="28"/>
          <w:szCs w:val="28"/>
          <w:u w:val="single"/>
        </w:rPr>
        <w:t xml:space="preserve">事项 </w:t>
      </w:r>
      <w:r>
        <w:rPr>
          <w:rFonts w:hint="eastAsia" w:ascii="仿宋_GB2312" w:hAnsi="仿宋_GB2312" w:eastAsia="仿宋_GB2312" w:cs="仿宋_GB2312"/>
          <w:sz w:val="28"/>
          <w:szCs w:val="28"/>
        </w:rPr>
        <w:t xml:space="preserve">协商一致，订立本合同，达成协议如下： </w:t>
      </w:r>
    </w:p>
    <w:p w14:paraId="65245D60">
      <w:pPr>
        <w:spacing w:line="500" w:lineRule="exact"/>
        <w:rPr>
          <w:rFonts w:ascii="仿宋_GB2312" w:hAnsi="仿宋_GB2312" w:eastAsia="仿宋_GB2312" w:cs="仿宋_GB2312"/>
          <w:b/>
          <w:color w:val="000000"/>
          <w:sz w:val="28"/>
          <w:szCs w:val="28"/>
        </w:rPr>
      </w:pPr>
      <w:r>
        <w:rPr>
          <w:rFonts w:hint="eastAsia" w:ascii="仿宋_GB2312" w:hAnsi="仿宋_GB2312" w:eastAsia="仿宋_GB2312" w:cs="仿宋_GB2312"/>
          <w:b/>
          <w:color w:val="000000"/>
          <w:sz w:val="28"/>
          <w:szCs w:val="28"/>
        </w:rPr>
        <w:t>一、合同造价</w:t>
      </w:r>
    </w:p>
    <w:p w14:paraId="2F8BDA2E">
      <w:pPr>
        <w:widowControl/>
        <w:spacing w:line="500" w:lineRule="exact"/>
        <w:ind w:firstLine="560" w:firstLineChars="200"/>
        <w:jc w:val="left"/>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（1）本合同总价为：</w:t>
      </w:r>
      <w:r>
        <w:rPr>
          <w:rFonts w:hint="eastAsia" w:ascii="宋体" w:hAnsi="宋体" w:eastAsia="宋体" w:cs="宋体"/>
          <w:kern w:val="0"/>
          <w:sz w:val="28"/>
          <w:szCs w:val="28"/>
          <w:u w:val="single"/>
        </w:rPr>
        <w:t>￥</w:t>
      </w:r>
      <w:r>
        <w:rPr>
          <w:rFonts w:hint="eastAsia" w:ascii="仿宋_GB2312" w:hAnsi="仿宋_GB2312" w:eastAsia="仿宋_GB2312" w:cs="仿宋_GB2312"/>
          <w:kern w:val="0"/>
          <w:sz w:val="28"/>
          <w:szCs w:val="28"/>
          <w:u w:val="single"/>
        </w:rPr>
        <w:t>50000.00</w:t>
      </w:r>
      <w:r>
        <w:rPr>
          <w:rFonts w:hint="eastAsia" w:ascii="仿宋_GB2312" w:hAnsi="仿宋_GB2312" w:eastAsia="仿宋_GB2312" w:cs="仿宋_GB2312"/>
          <w:kern w:val="0"/>
          <w:sz w:val="28"/>
          <w:szCs w:val="28"/>
        </w:rPr>
        <w:t>元</w:t>
      </w:r>
      <w:bookmarkStart w:id="5" w:name="OLE_LINK4"/>
      <w:r>
        <w:rPr>
          <w:rFonts w:hint="eastAsia" w:ascii="仿宋_GB2312" w:hAnsi="仿宋_GB2312" w:eastAsia="仿宋_GB2312" w:cs="仿宋_GB2312"/>
          <w:kern w:val="0"/>
          <w:sz w:val="28"/>
          <w:szCs w:val="28"/>
        </w:rPr>
        <w:t>（大写：人民币伍万元整），</w:t>
      </w:r>
      <w:bookmarkEnd w:id="5"/>
      <w:r>
        <w:rPr>
          <w:rFonts w:hint="eastAsia" w:ascii="仿宋_GB2312" w:hAnsi="仿宋_GB2312" w:eastAsia="仿宋_GB2312" w:cs="仿宋_GB2312"/>
          <w:kern w:val="0"/>
          <w:sz w:val="28"/>
          <w:szCs w:val="28"/>
        </w:rPr>
        <w:t>不含税总价为：</w:t>
      </w:r>
      <w:r>
        <w:rPr>
          <w:rFonts w:hint="eastAsia" w:ascii="宋体" w:hAnsi="宋体" w:eastAsia="宋体" w:cs="宋体"/>
          <w:kern w:val="0"/>
          <w:sz w:val="28"/>
          <w:szCs w:val="28"/>
          <w:u w:val="single"/>
        </w:rPr>
        <w:t>￥</w:t>
      </w:r>
      <w:r>
        <w:rPr>
          <w:rFonts w:hint="eastAsia" w:ascii="仿宋_GB2312" w:hAnsi="仿宋_GB2312" w:eastAsia="仿宋_GB2312" w:cs="仿宋_GB2312"/>
          <w:kern w:val="0"/>
          <w:sz w:val="28"/>
          <w:szCs w:val="28"/>
          <w:u w:val="single"/>
        </w:rPr>
        <w:t>49504.95</w:t>
      </w:r>
      <w:r>
        <w:rPr>
          <w:rFonts w:hint="eastAsia" w:ascii="仿宋_GB2312" w:hAnsi="仿宋_GB2312" w:eastAsia="仿宋_GB2312" w:cs="仿宋_GB2312"/>
          <w:kern w:val="0"/>
          <w:sz w:val="28"/>
          <w:szCs w:val="28"/>
        </w:rPr>
        <w:t>元（大写：人民币肆万玖仟伍佰零肆元玖角伍分），税金为：</w:t>
      </w:r>
      <w:r>
        <w:rPr>
          <w:rFonts w:hint="eastAsia" w:ascii="宋体" w:hAnsi="宋体" w:eastAsia="宋体" w:cs="宋体"/>
          <w:kern w:val="0"/>
          <w:sz w:val="28"/>
          <w:szCs w:val="28"/>
          <w:u w:val="single"/>
        </w:rPr>
        <w:t>￥</w:t>
      </w:r>
      <w:r>
        <w:rPr>
          <w:rFonts w:hint="eastAsia" w:ascii="仿宋_GB2312" w:hAnsi="仿宋_GB2312" w:eastAsia="仿宋_GB2312" w:cs="仿宋_GB2312"/>
          <w:kern w:val="0"/>
          <w:sz w:val="28"/>
          <w:szCs w:val="28"/>
          <w:u w:val="single"/>
        </w:rPr>
        <w:t xml:space="preserve">495.05 </w:t>
      </w:r>
      <w:r>
        <w:rPr>
          <w:rFonts w:hint="eastAsia" w:ascii="仿宋_GB2312" w:hAnsi="仿宋_GB2312" w:eastAsia="仿宋_GB2312" w:cs="仿宋_GB2312"/>
          <w:kern w:val="0"/>
          <w:sz w:val="28"/>
          <w:szCs w:val="28"/>
        </w:rPr>
        <w:t>（大写：人民币肆佰玖拾伍元零伍分），</w:t>
      </w:r>
      <w:bookmarkStart w:id="6" w:name="OLE_LINK6"/>
      <w:r>
        <w:rPr>
          <w:rFonts w:hint="eastAsia" w:ascii="仿宋_GB2312" w:hAnsi="仿宋_GB2312" w:eastAsia="仿宋_GB2312" w:cs="仿宋_GB2312"/>
          <w:kern w:val="0"/>
          <w:sz w:val="28"/>
          <w:szCs w:val="28"/>
        </w:rPr>
        <w:t>税率：</w:t>
      </w:r>
      <w:r>
        <w:rPr>
          <w:rFonts w:hint="eastAsia" w:ascii="仿宋_GB2312" w:hAnsi="仿宋_GB2312" w:eastAsia="仿宋_GB2312" w:cs="仿宋_GB2312"/>
          <w:kern w:val="0"/>
          <w:sz w:val="28"/>
          <w:szCs w:val="28"/>
          <w:u w:val="single"/>
        </w:rPr>
        <w:t xml:space="preserve">1% </w:t>
      </w:r>
      <w:r>
        <w:rPr>
          <w:rFonts w:hint="eastAsia" w:ascii="仿宋_GB2312" w:hAnsi="仿宋_GB2312" w:eastAsia="仿宋_GB2312" w:cs="仿宋_GB2312"/>
          <w:kern w:val="0"/>
          <w:sz w:val="28"/>
          <w:szCs w:val="28"/>
        </w:rPr>
        <w:t>。</w:t>
      </w:r>
    </w:p>
    <w:bookmarkEnd w:id="6"/>
    <w:p w14:paraId="4DA5BF3C">
      <w:pPr>
        <w:spacing w:line="500" w:lineRule="exact"/>
        <w:ind w:firstLine="560" w:firstLineChars="200"/>
        <w:rPr>
          <w:rFonts w:ascii="仿宋_GB2312" w:hAnsi="仿宋_GB2312" w:eastAsia="仿宋_GB2312" w:cs="仿宋_GB2312"/>
          <w:b/>
          <w:color w:val="000000"/>
          <w:sz w:val="28"/>
          <w:szCs w:val="28"/>
        </w:rPr>
      </w:pPr>
      <w:r>
        <w:rPr>
          <w:rFonts w:hint="eastAsia" w:ascii="仿宋_GB2312" w:hAnsi="仿宋_GB2312" w:eastAsia="仿宋_GB2312" w:cs="仿宋_GB2312"/>
          <w:sz w:val="28"/>
          <w:szCs w:val="28"/>
        </w:rPr>
        <w:t>（2）本合同总价组成详见合同后附件。</w:t>
      </w:r>
    </w:p>
    <w:p w14:paraId="30EEB576">
      <w:pPr>
        <w:spacing w:line="500" w:lineRule="exact"/>
        <w:rPr>
          <w:rFonts w:ascii="仿宋_GB2312" w:hAnsi="仿宋_GB2312" w:eastAsia="仿宋_GB2312" w:cs="仿宋_GB2312"/>
          <w:b/>
          <w:color w:val="000000"/>
          <w:sz w:val="28"/>
          <w:szCs w:val="28"/>
        </w:rPr>
      </w:pPr>
      <w:r>
        <w:rPr>
          <w:rFonts w:hint="eastAsia" w:ascii="仿宋_GB2312" w:hAnsi="仿宋_GB2312" w:eastAsia="仿宋_GB2312" w:cs="仿宋_GB2312"/>
          <w:b/>
          <w:color w:val="000000"/>
          <w:sz w:val="28"/>
          <w:szCs w:val="28"/>
        </w:rPr>
        <w:t>二、工程进度节点及费用支付比例及金额</w:t>
      </w:r>
    </w:p>
    <w:p w14:paraId="1431B2E1">
      <w:pPr>
        <w:tabs>
          <w:tab w:val="left" w:pos="284"/>
        </w:tabs>
        <w:spacing w:line="500" w:lineRule="exact"/>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1.工程进度节点</w:t>
      </w:r>
    </w:p>
    <w:p w14:paraId="060FCA24">
      <w:pPr>
        <w:tabs>
          <w:tab w:val="left" w:pos="284"/>
        </w:tabs>
        <w:spacing w:line="500" w:lineRule="exact"/>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工程进度节点顺序如下：现场情况调研-项目方案确认-项目安装实施以及软硬件联调-整体验收。</w:t>
      </w:r>
    </w:p>
    <w:p w14:paraId="17BA1E78">
      <w:pPr>
        <w:tabs>
          <w:tab w:val="left" w:pos="284"/>
        </w:tabs>
        <w:snapToGrid w:val="0"/>
        <w:spacing w:line="500" w:lineRule="exact"/>
        <w:rPr>
          <w:rFonts w:ascii="仿宋_GB2312" w:hAnsi="仿宋_GB2312" w:eastAsia="仿宋_GB2312" w:cs="仿宋_GB2312"/>
          <w:sz w:val="28"/>
          <w:szCs w:val="28"/>
        </w:rPr>
      </w:pPr>
      <w:r>
        <w:rPr>
          <w:rFonts w:hint="eastAsia" w:ascii="仿宋_GB2312" w:hAnsi="仿宋_GB2312" w:eastAsia="仿宋_GB2312" w:cs="仿宋_GB2312"/>
          <w:b/>
          <w:bCs/>
          <w:sz w:val="28"/>
          <w:szCs w:val="28"/>
        </w:rPr>
        <w:t>2.工期与费用支付比例及金额</w:t>
      </w:r>
    </w:p>
    <w:p w14:paraId="0BFB637A">
      <w:pPr>
        <w:tabs>
          <w:tab w:val="left" w:pos="284"/>
        </w:tabs>
        <w:snapToGrid w:val="0"/>
        <w:spacing w:line="500" w:lineRule="exact"/>
        <w:ind w:firstLine="562" w:firstLineChars="200"/>
        <w:rPr>
          <w:rFonts w:ascii="仿宋_GB2312" w:hAnsi="仿宋_GB2312" w:eastAsia="仿宋_GB2312" w:cs="仿宋_GB2312"/>
          <w:sz w:val="28"/>
          <w:szCs w:val="28"/>
        </w:rPr>
      </w:pPr>
      <w:r>
        <w:rPr>
          <w:rFonts w:hint="eastAsia" w:ascii="仿宋_GB2312" w:hAnsi="仿宋_GB2312" w:eastAsia="仿宋_GB2312" w:cs="仿宋_GB2312"/>
          <w:b/>
          <w:bCs/>
          <w:sz w:val="28"/>
          <w:szCs w:val="28"/>
        </w:rPr>
        <w:t>2.1 工期计划：</w:t>
      </w:r>
      <w:bookmarkStart w:id="7" w:name="OLE_LINK7"/>
      <w:r>
        <w:rPr>
          <w:rFonts w:hint="eastAsia" w:ascii="仿宋_GB2312" w:hAnsi="仿宋_GB2312" w:eastAsia="仿宋_GB2312" w:cs="仿宋_GB2312"/>
          <w:sz w:val="28"/>
          <w:szCs w:val="28"/>
        </w:rPr>
        <w:t>双方签订合同后，</w:t>
      </w:r>
      <w:bookmarkEnd w:id="7"/>
      <w:r>
        <w:rPr>
          <w:rFonts w:hint="eastAsia" w:ascii="仿宋_GB2312" w:hAnsi="仿宋_GB2312" w:eastAsia="仿宋_GB2312" w:cs="仿宋_GB2312"/>
          <w:sz w:val="28"/>
          <w:szCs w:val="28"/>
        </w:rPr>
        <w:t>乙方进场施工，总工期共计</w:t>
      </w:r>
      <w:r>
        <w:rPr>
          <w:rFonts w:hint="eastAsia" w:ascii="仿宋_GB2312" w:hAnsi="仿宋_GB2312" w:eastAsia="仿宋_GB2312" w:cs="仿宋_GB2312"/>
          <w:sz w:val="28"/>
          <w:szCs w:val="28"/>
          <w:u w:val="single"/>
        </w:rPr>
        <w:t xml:space="preserve"> 7 </w:t>
      </w:r>
      <w:r>
        <w:rPr>
          <w:rFonts w:hint="eastAsia" w:ascii="仿宋_GB2312" w:hAnsi="仿宋_GB2312" w:eastAsia="仿宋_GB2312" w:cs="仿宋_GB2312"/>
          <w:sz w:val="28"/>
          <w:szCs w:val="28"/>
        </w:rPr>
        <w:t>天。如因甲方或不可抗力原因，工期则由双方友好协商。</w:t>
      </w:r>
    </w:p>
    <w:p w14:paraId="145EE95C">
      <w:pPr>
        <w:tabs>
          <w:tab w:val="left" w:pos="284"/>
        </w:tabs>
        <w:snapToGrid w:val="0"/>
        <w:spacing w:line="500" w:lineRule="exact"/>
        <w:ind w:firstLine="562" w:firstLineChars="200"/>
        <w:rPr>
          <w:rFonts w:ascii="仿宋_GB2312" w:hAnsi="仿宋_GB2312" w:eastAsia="仿宋_GB2312" w:cs="仿宋_GB2312"/>
          <w:bCs/>
          <w:kern w:val="0"/>
          <w:sz w:val="28"/>
          <w:szCs w:val="28"/>
        </w:rPr>
      </w:pPr>
      <w:r>
        <w:rPr>
          <w:rFonts w:hint="eastAsia" w:ascii="仿宋_GB2312" w:hAnsi="仿宋_GB2312" w:eastAsia="仿宋_GB2312" w:cs="仿宋_GB2312"/>
          <w:b/>
          <w:bCs/>
          <w:sz w:val="28"/>
          <w:szCs w:val="28"/>
        </w:rPr>
        <w:t xml:space="preserve">2.2 </w:t>
      </w:r>
      <w:r>
        <w:rPr>
          <w:rFonts w:hint="eastAsia" w:ascii="仿宋_GB2312" w:hAnsi="仿宋_GB2312" w:eastAsia="仿宋_GB2312" w:cs="仿宋_GB2312"/>
          <w:sz w:val="28"/>
          <w:szCs w:val="28"/>
        </w:rPr>
        <w:t>双方签订合同后，整体验收通过后支付合同全部款项，金额为：</w:t>
      </w:r>
      <w:r>
        <w:rPr>
          <w:rFonts w:hint="eastAsia" w:ascii="宋体" w:hAnsi="宋体" w:eastAsia="宋体" w:cs="宋体"/>
          <w:sz w:val="28"/>
          <w:szCs w:val="28"/>
          <w:u w:val="single"/>
        </w:rPr>
        <w:t>￥</w:t>
      </w:r>
      <w:r>
        <w:rPr>
          <w:rFonts w:hint="eastAsia" w:ascii="仿宋_GB2312" w:hAnsi="仿宋_GB2312" w:eastAsia="仿宋_GB2312" w:cs="仿宋_GB2312"/>
          <w:sz w:val="28"/>
          <w:szCs w:val="28"/>
          <w:u w:val="single"/>
        </w:rPr>
        <w:t>50000</w:t>
      </w:r>
      <w:r>
        <w:rPr>
          <w:rFonts w:ascii="仿宋_GB2312" w:hAnsi="仿宋_GB2312" w:eastAsia="仿宋_GB2312" w:cs="仿宋_GB2312"/>
          <w:sz w:val="28"/>
          <w:szCs w:val="28"/>
          <w:u w:val="single"/>
        </w:rPr>
        <w:t>.00</w:t>
      </w:r>
      <w:r>
        <w:rPr>
          <w:rFonts w:hint="eastAsia" w:ascii="仿宋_GB2312" w:hAnsi="仿宋_GB2312" w:eastAsia="仿宋_GB2312" w:cs="仿宋_GB2312"/>
          <w:sz w:val="28"/>
          <w:szCs w:val="28"/>
        </w:rPr>
        <w:t>元 ，</w:t>
      </w:r>
      <w:bookmarkStart w:id="8" w:name="OLE_LINK8"/>
      <w:r>
        <w:rPr>
          <w:rFonts w:hint="eastAsia" w:ascii="仿宋_GB2312" w:hAnsi="仿宋_GB2312" w:eastAsia="仿宋_GB2312" w:cs="仿宋_GB2312"/>
          <w:bCs/>
          <w:kern w:val="0"/>
          <w:sz w:val="28"/>
          <w:szCs w:val="28"/>
        </w:rPr>
        <w:t>大写：</w:t>
      </w:r>
      <w:r>
        <w:rPr>
          <w:rFonts w:hint="eastAsia" w:ascii="仿宋_GB2312" w:hAnsi="仿宋_GB2312" w:eastAsia="仿宋_GB2312" w:cs="仿宋_GB2312"/>
          <w:bCs/>
          <w:kern w:val="0"/>
          <w:sz w:val="28"/>
          <w:szCs w:val="28"/>
          <w:u w:val="single"/>
        </w:rPr>
        <w:t>人民币伍万元整</w:t>
      </w:r>
      <w:r>
        <w:rPr>
          <w:rFonts w:hint="eastAsia" w:ascii="仿宋_GB2312" w:hAnsi="仿宋_GB2312" w:eastAsia="仿宋_GB2312" w:cs="仿宋_GB2312"/>
          <w:bCs/>
          <w:kern w:val="0"/>
          <w:sz w:val="28"/>
          <w:szCs w:val="28"/>
        </w:rPr>
        <w:t>。</w:t>
      </w:r>
      <w:bookmarkEnd w:id="8"/>
    </w:p>
    <w:p w14:paraId="2A2FF7CE">
      <w:pPr>
        <w:tabs>
          <w:tab w:val="left" w:pos="284"/>
        </w:tabs>
        <w:snapToGrid w:val="0"/>
        <w:spacing w:line="500" w:lineRule="exact"/>
        <w:ind w:firstLine="562" w:firstLineChars="200"/>
        <w:rPr>
          <w:rFonts w:ascii="仿宋_GB2312" w:hAnsi="仿宋_GB2312" w:eastAsia="仿宋_GB2312" w:cs="仿宋_GB2312"/>
          <w:b/>
          <w:color w:val="000000"/>
          <w:sz w:val="28"/>
          <w:szCs w:val="28"/>
        </w:rPr>
      </w:pPr>
      <w:r>
        <w:rPr>
          <w:rFonts w:hint="eastAsia" w:ascii="仿宋_GB2312" w:hAnsi="仿宋_GB2312" w:eastAsia="仿宋_GB2312" w:cs="仿宋_GB2312"/>
          <w:b/>
          <w:bCs/>
          <w:sz w:val="28"/>
          <w:szCs w:val="28"/>
        </w:rPr>
        <w:t xml:space="preserve">2.3 </w:t>
      </w:r>
      <w:r>
        <w:rPr>
          <w:rFonts w:hint="eastAsia" w:ascii="仿宋_GB2312" w:hAnsi="仿宋_GB2312" w:eastAsia="仿宋_GB2312" w:cs="仿宋_GB2312"/>
          <w:sz w:val="28"/>
          <w:szCs w:val="28"/>
        </w:rPr>
        <w:t>系统和设备安装完成后，甲方进行整体验收，验收周期为</w:t>
      </w:r>
      <w:r>
        <w:rPr>
          <w:rFonts w:hint="eastAsia" w:ascii="仿宋_GB2312" w:hAnsi="仿宋_GB2312" w:eastAsia="仿宋_GB2312" w:cs="仿宋_GB2312"/>
          <w:sz w:val="28"/>
          <w:szCs w:val="28"/>
          <w:u w:val="single"/>
        </w:rPr>
        <w:t xml:space="preserve"> 7 </w:t>
      </w:r>
      <w:r>
        <w:rPr>
          <w:rFonts w:hint="eastAsia" w:ascii="仿宋_GB2312" w:hAnsi="仿宋_GB2312" w:eastAsia="仿宋_GB2312" w:cs="仿宋_GB2312"/>
          <w:sz w:val="28"/>
          <w:szCs w:val="28"/>
        </w:rPr>
        <w:t>天，超出</w:t>
      </w:r>
      <w:r>
        <w:rPr>
          <w:rFonts w:hint="eastAsia" w:ascii="仿宋_GB2312" w:hAnsi="仿宋_GB2312" w:eastAsia="仿宋_GB2312" w:cs="仿宋_GB2312"/>
          <w:sz w:val="28"/>
          <w:szCs w:val="28"/>
          <w:u w:val="single"/>
        </w:rPr>
        <w:t xml:space="preserve"> 7 </w:t>
      </w:r>
      <w:r>
        <w:rPr>
          <w:rFonts w:hint="eastAsia" w:ascii="仿宋_GB2312" w:hAnsi="仿宋_GB2312" w:eastAsia="仿宋_GB2312" w:cs="仿宋_GB2312"/>
          <w:sz w:val="28"/>
          <w:szCs w:val="28"/>
        </w:rPr>
        <w:t>天默认验收通过，验收通过后，甲方在</w:t>
      </w:r>
      <w:r>
        <w:rPr>
          <w:rFonts w:hint="eastAsia" w:ascii="仿宋_GB2312" w:hAnsi="仿宋_GB2312" w:eastAsia="仿宋_GB2312" w:cs="仿宋_GB2312"/>
          <w:sz w:val="28"/>
          <w:szCs w:val="28"/>
          <w:u w:val="single"/>
        </w:rPr>
        <w:t xml:space="preserve"> 1 </w:t>
      </w:r>
      <w:r>
        <w:rPr>
          <w:rFonts w:hint="eastAsia" w:ascii="仿宋_GB2312" w:hAnsi="仿宋_GB2312" w:eastAsia="仿宋_GB2312" w:cs="仿宋_GB2312"/>
          <w:sz w:val="28"/>
          <w:szCs w:val="28"/>
        </w:rPr>
        <w:t>个月内，向乙方支付合同总价的全部款项</w:t>
      </w:r>
      <w:bookmarkStart w:id="9" w:name="OLE_LINK9"/>
      <w:r>
        <w:rPr>
          <w:rFonts w:hint="eastAsia" w:ascii="仿宋_GB2312" w:hAnsi="仿宋_GB2312" w:eastAsia="仿宋_GB2312" w:cs="仿宋_GB2312"/>
          <w:bCs/>
          <w:kern w:val="0"/>
          <w:sz w:val="28"/>
          <w:szCs w:val="28"/>
        </w:rPr>
        <w:t>。</w:t>
      </w:r>
      <w:bookmarkEnd w:id="9"/>
    </w:p>
    <w:p w14:paraId="70586EFC">
      <w:pPr>
        <w:spacing w:line="500" w:lineRule="exact"/>
        <w:rPr>
          <w:rFonts w:ascii="仿宋_GB2312" w:hAnsi="仿宋_GB2312" w:eastAsia="仿宋_GB2312" w:cs="仿宋_GB2312"/>
          <w:b/>
          <w:color w:val="000000"/>
          <w:sz w:val="28"/>
          <w:szCs w:val="28"/>
        </w:rPr>
      </w:pPr>
      <w:r>
        <w:rPr>
          <w:rFonts w:hint="eastAsia" w:ascii="仿宋_GB2312" w:hAnsi="仿宋_GB2312" w:eastAsia="仿宋_GB2312" w:cs="仿宋_GB2312"/>
          <w:b/>
          <w:color w:val="000000"/>
          <w:sz w:val="28"/>
          <w:szCs w:val="28"/>
        </w:rPr>
        <w:t>三、验收</w:t>
      </w:r>
    </w:p>
    <w:p w14:paraId="227FD8C1">
      <w:pPr>
        <w:spacing w:line="500" w:lineRule="exact"/>
        <w:ind w:firstLine="562" w:firstLineChars="200"/>
        <w:rPr>
          <w:rFonts w:ascii="仿宋_GB2312" w:hAnsi="仿宋_GB2312" w:eastAsia="仿宋_GB2312" w:cs="仿宋_GB2312"/>
          <w:i/>
          <w:color w:val="FF0000"/>
          <w:sz w:val="28"/>
          <w:szCs w:val="28"/>
        </w:rPr>
      </w:pPr>
      <w:r>
        <w:rPr>
          <w:rFonts w:hint="eastAsia" w:ascii="仿宋_GB2312" w:hAnsi="仿宋_GB2312" w:eastAsia="仿宋_GB2312" w:cs="仿宋_GB2312"/>
          <w:b/>
          <w:bCs/>
          <w:color w:val="000000"/>
          <w:sz w:val="28"/>
          <w:szCs w:val="28"/>
        </w:rPr>
        <w:t>3.1验收时间：</w:t>
      </w:r>
      <w:r>
        <w:rPr>
          <w:rFonts w:hint="eastAsia" w:ascii="仿宋_GB2312" w:hAnsi="仿宋_GB2312" w:eastAsia="仿宋_GB2312" w:cs="仿宋_GB2312"/>
          <w:color w:val="000000"/>
          <w:sz w:val="28"/>
          <w:szCs w:val="28"/>
        </w:rPr>
        <w:t>货物运输至甲方指定地点后，双方在</w:t>
      </w:r>
      <w:r>
        <w:rPr>
          <w:rFonts w:hint="eastAsia" w:ascii="仿宋_GB2312" w:hAnsi="仿宋_GB2312" w:eastAsia="仿宋_GB2312" w:cs="仿宋_GB2312"/>
          <w:color w:val="000000"/>
          <w:sz w:val="28"/>
          <w:szCs w:val="28"/>
          <w:u w:val="single"/>
        </w:rPr>
        <w:t xml:space="preserve"> 24 </w:t>
      </w:r>
      <w:r>
        <w:rPr>
          <w:rFonts w:hint="eastAsia" w:ascii="仿宋_GB2312" w:hAnsi="仿宋_GB2312" w:eastAsia="仿宋_GB2312" w:cs="仿宋_GB2312"/>
          <w:color w:val="000000"/>
          <w:sz w:val="28"/>
          <w:szCs w:val="28"/>
        </w:rPr>
        <w:t>小时内对品种、型号、规格、数量进行初步验收；如品种、型号、规格、数量不符合规定和合同约定的，甲方在验收完毕后的</w:t>
      </w:r>
      <w:r>
        <w:rPr>
          <w:rFonts w:hint="eastAsia" w:ascii="仿宋_GB2312" w:hAnsi="仿宋_GB2312" w:eastAsia="仿宋_GB2312" w:cs="仿宋_GB2312"/>
          <w:color w:val="000000"/>
          <w:sz w:val="28"/>
          <w:szCs w:val="28"/>
          <w:u w:val="single"/>
        </w:rPr>
        <w:t xml:space="preserve"> 1 </w:t>
      </w:r>
      <w:r>
        <w:rPr>
          <w:rFonts w:hint="eastAsia" w:ascii="仿宋_GB2312" w:hAnsi="仿宋_GB2312" w:eastAsia="仿宋_GB2312" w:cs="仿宋_GB2312"/>
          <w:color w:val="000000"/>
          <w:sz w:val="28"/>
          <w:szCs w:val="28"/>
        </w:rPr>
        <w:t>日内向乙方提出异议和处理意见。</w:t>
      </w:r>
    </w:p>
    <w:p w14:paraId="3E345F6A">
      <w:pPr>
        <w:spacing w:line="50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3.2 本合同约定货物的质保期为</w:t>
      </w:r>
      <w:r>
        <w:rPr>
          <w:rFonts w:hint="eastAsia" w:ascii="仿宋_GB2312" w:hAnsi="仿宋_GB2312" w:eastAsia="仿宋_GB2312" w:cs="仿宋_GB2312"/>
          <w:color w:val="000000"/>
          <w:sz w:val="28"/>
          <w:szCs w:val="28"/>
          <w:u w:val="single"/>
        </w:rPr>
        <w:t xml:space="preserve"> 12</w:t>
      </w:r>
      <w:r>
        <w:rPr>
          <w:rFonts w:hint="eastAsia" w:ascii="仿宋_GB2312" w:hAnsi="仿宋_GB2312" w:eastAsia="仿宋_GB2312" w:cs="仿宋_GB2312"/>
          <w:color w:val="000000"/>
          <w:sz w:val="28"/>
          <w:szCs w:val="28"/>
        </w:rPr>
        <w:t>个月，自工程验收合格之日起计算。如果乙方对货物有另外承诺的质保期且与本合同约定不一致的，双方同意以期限较长的为准。</w:t>
      </w:r>
    </w:p>
    <w:p w14:paraId="7B9BA155">
      <w:pPr>
        <w:spacing w:line="500" w:lineRule="exact"/>
        <w:rPr>
          <w:rFonts w:ascii="仿宋_GB2312" w:hAnsi="仿宋_GB2312" w:eastAsia="仿宋_GB2312" w:cs="仿宋_GB2312"/>
          <w:sz w:val="28"/>
          <w:szCs w:val="28"/>
        </w:rPr>
      </w:pPr>
      <w:r>
        <w:rPr>
          <w:rFonts w:hint="eastAsia" w:ascii="仿宋_GB2312" w:hAnsi="仿宋_GB2312" w:eastAsia="仿宋_GB2312" w:cs="仿宋_GB2312"/>
          <w:b/>
          <w:color w:val="000000"/>
          <w:sz w:val="28"/>
          <w:szCs w:val="28"/>
        </w:rPr>
        <w:t>四、质量保证</w:t>
      </w:r>
    </w:p>
    <w:p w14:paraId="6B57CC83">
      <w:pPr>
        <w:spacing w:line="50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4.1 乙方提供的所有服务，必须符合运行使用标准。</w:t>
      </w:r>
    </w:p>
    <w:p w14:paraId="4AAA04FE">
      <w:pPr>
        <w:spacing w:line="50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4.4 质保期期满后，乙方应继续为甲方提供修理和更换的方便。但由此产生的费用均由甲方负担。</w:t>
      </w:r>
    </w:p>
    <w:p w14:paraId="12A509A1">
      <w:pPr>
        <w:spacing w:line="500" w:lineRule="exact"/>
        <w:rPr>
          <w:rFonts w:ascii="仿宋_GB2312" w:hAnsi="仿宋_GB2312" w:eastAsia="仿宋_GB2312" w:cs="仿宋_GB2312"/>
          <w:b/>
          <w:color w:val="000000"/>
          <w:sz w:val="28"/>
          <w:szCs w:val="28"/>
        </w:rPr>
      </w:pPr>
      <w:r>
        <w:rPr>
          <w:rFonts w:hint="eastAsia" w:ascii="仿宋_GB2312" w:hAnsi="仿宋_GB2312" w:eastAsia="仿宋_GB2312" w:cs="仿宋_GB2312"/>
          <w:b/>
          <w:color w:val="000000"/>
          <w:sz w:val="28"/>
          <w:szCs w:val="28"/>
        </w:rPr>
        <w:t>五、双方权利义务</w:t>
      </w:r>
    </w:p>
    <w:p w14:paraId="00C8B027">
      <w:pPr>
        <w:tabs>
          <w:tab w:val="left" w:pos="360"/>
        </w:tabs>
        <w:spacing w:line="500" w:lineRule="exact"/>
        <w:ind w:firstLine="281" w:firstLineChars="100"/>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5.1甲方的权利义务</w:t>
      </w:r>
    </w:p>
    <w:p w14:paraId="3BF8AE41">
      <w:pPr>
        <w:spacing w:line="500" w:lineRule="exact"/>
        <w:ind w:firstLine="560" w:firstLineChars="200"/>
        <w:rPr>
          <w:rFonts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5.1.1 甲方负责提供供货计划和准确的交货地点。</w:t>
      </w:r>
    </w:p>
    <w:p w14:paraId="184F57F7">
      <w:pPr>
        <w:spacing w:line="500" w:lineRule="exact"/>
        <w:ind w:firstLine="560" w:firstLineChars="200"/>
        <w:rPr>
          <w:rFonts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5.1.2 按合同约定支付合同价款。</w:t>
      </w:r>
    </w:p>
    <w:p w14:paraId="0AD86FF1">
      <w:pPr>
        <w:spacing w:line="500" w:lineRule="exact"/>
        <w:ind w:firstLine="560" w:firstLineChars="200"/>
        <w:rPr>
          <w:rFonts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5.1.3 甲方不得无故拒绝接收供货计划范围内的货物。</w:t>
      </w:r>
    </w:p>
    <w:bookmarkEnd w:id="2"/>
    <w:p w14:paraId="745C5AA3">
      <w:pPr>
        <w:spacing w:line="500" w:lineRule="exact"/>
        <w:ind w:firstLine="560" w:firstLineChars="200"/>
        <w:rPr>
          <w:rFonts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5.1.4 按合同约定对货物进行检验和验收。</w:t>
      </w:r>
    </w:p>
    <w:p w14:paraId="7CF37E0E">
      <w:pPr>
        <w:spacing w:line="500" w:lineRule="exact"/>
        <w:ind w:firstLine="560" w:firstLineChars="200"/>
        <w:rPr>
          <w:rFonts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5.1.5 接受乙方提供的培训和保修服务。</w:t>
      </w:r>
    </w:p>
    <w:p w14:paraId="511362E6">
      <w:pPr>
        <w:spacing w:line="500" w:lineRule="exact"/>
        <w:ind w:firstLine="560" w:firstLineChars="200"/>
        <w:rPr>
          <w:rFonts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5.1.6 甲方</w:t>
      </w:r>
      <w:r>
        <w:rPr>
          <w:rFonts w:hint="eastAsia" w:ascii="仿宋_GB2312" w:hAnsi="仿宋_GB2312" w:eastAsia="仿宋_GB2312" w:cs="仿宋_GB2312"/>
          <w:color w:val="000000"/>
          <w:sz w:val="28"/>
          <w:szCs w:val="28"/>
        </w:rPr>
        <w:t>享有本合同约定技术的使用权</w:t>
      </w:r>
      <w:r>
        <w:rPr>
          <w:rFonts w:hint="eastAsia" w:ascii="仿宋_GB2312" w:hAnsi="仿宋_GB2312" w:eastAsia="仿宋_GB2312" w:cs="仿宋_GB2312"/>
          <w:bCs/>
          <w:color w:val="000000"/>
          <w:sz w:val="28"/>
          <w:szCs w:val="28"/>
        </w:rPr>
        <w:t>。</w:t>
      </w:r>
    </w:p>
    <w:p w14:paraId="09AEB088">
      <w:pPr>
        <w:spacing w:line="500" w:lineRule="exact"/>
        <w:ind w:firstLine="281" w:firstLineChars="100"/>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5.2乙方的权利义务</w:t>
      </w:r>
    </w:p>
    <w:p w14:paraId="79FF4013">
      <w:pPr>
        <w:spacing w:line="50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5.2.1 按合同约定的技术标准和质量要求供应货物。</w:t>
      </w:r>
    </w:p>
    <w:p w14:paraId="62CA1EC1">
      <w:pPr>
        <w:spacing w:line="50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5.2.2 乙方对甲方相关人员提供免费技术培训，培训内容包括货物安装、调试、操作、维护保养、故障处理等。乙方负责完工后的场地清理，确保交付使用。</w:t>
      </w:r>
    </w:p>
    <w:p w14:paraId="5019D4FA">
      <w:pPr>
        <w:spacing w:line="50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5.2.3 本合同质保期为</w:t>
      </w:r>
      <w:r>
        <w:rPr>
          <w:rFonts w:hint="eastAsia" w:ascii="仿宋_GB2312" w:hAnsi="仿宋_GB2312" w:eastAsia="仿宋_GB2312" w:cs="仿宋_GB2312"/>
          <w:color w:val="000000"/>
          <w:sz w:val="28"/>
          <w:szCs w:val="28"/>
          <w:u w:val="single"/>
        </w:rPr>
        <w:t xml:space="preserve"> 12</w:t>
      </w:r>
      <w:r>
        <w:rPr>
          <w:rFonts w:hint="eastAsia" w:ascii="仿宋_GB2312" w:hAnsi="仿宋_GB2312" w:eastAsia="仿宋_GB2312" w:cs="仿宋_GB2312"/>
          <w:color w:val="000000"/>
          <w:sz w:val="28"/>
          <w:szCs w:val="28"/>
        </w:rPr>
        <w:t>个月 ，自验收合格之日起计算。如在质保期内，因货物使用过程中出现任何问题影响到甲方正常使用的，乙方须在收到甲方通知后</w:t>
      </w:r>
      <w:r>
        <w:rPr>
          <w:rFonts w:hint="eastAsia" w:ascii="仿宋_GB2312" w:hAnsi="仿宋_GB2312" w:eastAsia="仿宋_GB2312" w:cs="仿宋_GB2312"/>
          <w:color w:val="000000"/>
          <w:sz w:val="28"/>
          <w:szCs w:val="28"/>
          <w:u w:val="single"/>
        </w:rPr>
        <w:t xml:space="preserve"> 5 </w:t>
      </w:r>
      <w:r>
        <w:rPr>
          <w:rFonts w:hint="eastAsia" w:ascii="仿宋_GB2312" w:hAnsi="仿宋_GB2312" w:eastAsia="仿宋_GB2312" w:cs="仿宋_GB2312"/>
          <w:color w:val="000000"/>
          <w:sz w:val="28"/>
          <w:szCs w:val="28"/>
        </w:rPr>
        <w:t>日内进行维修或更换，因此产生的费用由乙方承担。质保期满后，乙方接到甲方通知后</w:t>
      </w:r>
      <w:r>
        <w:rPr>
          <w:rFonts w:hint="eastAsia" w:ascii="仿宋_GB2312" w:hAnsi="仿宋_GB2312" w:eastAsia="仿宋_GB2312" w:cs="仿宋_GB2312"/>
          <w:color w:val="000000"/>
          <w:sz w:val="28"/>
          <w:szCs w:val="28"/>
          <w:u w:val="single"/>
        </w:rPr>
        <w:t xml:space="preserve"> 7 </w:t>
      </w:r>
      <w:r>
        <w:rPr>
          <w:rFonts w:hint="eastAsia" w:ascii="仿宋_GB2312" w:hAnsi="仿宋_GB2312" w:eastAsia="仿宋_GB2312" w:cs="仿宋_GB2312"/>
          <w:color w:val="000000"/>
          <w:sz w:val="28"/>
          <w:szCs w:val="28"/>
        </w:rPr>
        <w:t>日内进行维修等服务，乙方应对甲方合理收费。</w:t>
      </w:r>
    </w:p>
    <w:p w14:paraId="23BA0FBA">
      <w:pPr>
        <w:spacing w:line="50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5.2.4 乙方拥有技术的所有权和知识产权，未经乙方书面同意，甲方不得将相关技术资料向第三方披露、转让、许可使用或用于本合同约定以外的其他用途。</w:t>
      </w:r>
    </w:p>
    <w:p w14:paraId="4AD0DA36">
      <w:pPr>
        <w:spacing w:line="500" w:lineRule="exact"/>
        <w:rPr>
          <w:rFonts w:ascii="仿宋_GB2312" w:hAnsi="仿宋_GB2312" w:eastAsia="仿宋_GB2312" w:cs="仿宋_GB2312"/>
          <w:b/>
          <w:color w:val="000000"/>
          <w:sz w:val="28"/>
          <w:szCs w:val="28"/>
        </w:rPr>
      </w:pPr>
      <w:r>
        <w:rPr>
          <w:rFonts w:hint="eastAsia" w:ascii="仿宋_GB2312" w:hAnsi="仿宋_GB2312" w:eastAsia="仿宋_GB2312" w:cs="仿宋_GB2312"/>
          <w:b/>
          <w:color w:val="000000"/>
          <w:sz w:val="28"/>
          <w:szCs w:val="28"/>
        </w:rPr>
        <w:t>六、不可抗力</w:t>
      </w:r>
    </w:p>
    <w:p w14:paraId="3E3CFC2B">
      <w:pPr>
        <w:spacing w:line="50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任何一方由于不可抗力原因不能履行合同时，应在不可抗力事件发生后</w:t>
      </w:r>
      <w:r>
        <w:rPr>
          <w:rFonts w:hint="eastAsia" w:ascii="仿宋_GB2312" w:hAnsi="仿宋_GB2312" w:eastAsia="仿宋_GB2312" w:cs="仿宋_GB2312"/>
          <w:color w:val="000000"/>
          <w:sz w:val="28"/>
          <w:szCs w:val="28"/>
          <w:u w:val="single"/>
        </w:rPr>
        <w:t xml:space="preserve"> 12 </w:t>
      </w:r>
      <w:r>
        <w:rPr>
          <w:rFonts w:hint="eastAsia" w:ascii="仿宋_GB2312" w:hAnsi="仿宋_GB2312" w:eastAsia="仿宋_GB2312" w:cs="仿宋_GB2312"/>
          <w:color w:val="000000"/>
          <w:sz w:val="28"/>
          <w:szCs w:val="28"/>
        </w:rPr>
        <w:t>小时内通知对方，并在不可抗力事件结束后</w:t>
      </w:r>
      <w:r>
        <w:rPr>
          <w:rFonts w:hint="eastAsia" w:ascii="仿宋_GB2312" w:hAnsi="仿宋_GB2312" w:eastAsia="仿宋_GB2312" w:cs="仿宋_GB2312"/>
          <w:color w:val="000000"/>
          <w:sz w:val="28"/>
          <w:szCs w:val="28"/>
          <w:u w:val="single"/>
        </w:rPr>
        <w:t xml:space="preserve"> 3 </w:t>
      </w:r>
      <w:r>
        <w:rPr>
          <w:rFonts w:hint="eastAsia" w:ascii="仿宋_GB2312" w:hAnsi="仿宋_GB2312" w:eastAsia="仿宋_GB2312" w:cs="仿宋_GB2312"/>
          <w:color w:val="000000"/>
          <w:sz w:val="28"/>
          <w:szCs w:val="28"/>
        </w:rPr>
        <w:t>日将有权机构出具的不可抗力证明提交对方后，允许延期履行、部分履行或者不履行合同，并根据情况可部分或全部免予承担违约责任。</w:t>
      </w:r>
    </w:p>
    <w:p w14:paraId="533DF7EC">
      <w:pPr>
        <w:spacing w:line="500" w:lineRule="exact"/>
        <w:rPr>
          <w:rFonts w:ascii="仿宋_GB2312" w:hAnsi="仿宋_GB2312" w:eastAsia="仿宋_GB2312" w:cs="仿宋_GB2312"/>
          <w:b/>
          <w:color w:val="000000"/>
          <w:sz w:val="28"/>
          <w:szCs w:val="28"/>
        </w:rPr>
      </w:pPr>
      <w:r>
        <w:rPr>
          <w:rFonts w:hint="eastAsia" w:ascii="仿宋_GB2312" w:hAnsi="仿宋_GB2312" w:eastAsia="仿宋_GB2312" w:cs="仿宋_GB2312"/>
          <w:b/>
          <w:color w:val="000000"/>
          <w:sz w:val="28"/>
          <w:szCs w:val="28"/>
        </w:rPr>
        <w:t>七、争议解决方式</w:t>
      </w:r>
    </w:p>
    <w:p w14:paraId="0264720F">
      <w:pPr>
        <w:spacing w:line="50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甲乙双方在履行合同时发生争议的，应由局相关职能管理部门协商解决。</w:t>
      </w:r>
    </w:p>
    <w:p w14:paraId="3B12664B">
      <w:pPr>
        <w:spacing w:line="500" w:lineRule="exact"/>
        <w:rPr>
          <w:rFonts w:ascii="仿宋_GB2312" w:hAnsi="仿宋_GB2312" w:eastAsia="仿宋_GB2312" w:cs="仿宋_GB2312"/>
          <w:b/>
          <w:color w:val="000000"/>
          <w:sz w:val="28"/>
          <w:szCs w:val="28"/>
        </w:rPr>
      </w:pPr>
      <w:r>
        <w:rPr>
          <w:rFonts w:hint="eastAsia" w:ascii="仿宋_GB2312" w:hAnsi="仿宋_GB2312" w:eastAsia="仿宋_GB2312" w:cs="仿宋_GB2312"/>
          <w:b/>
          <w:color w:val="000000"/>
          <w:sz w:val="28"/>
          <w:szCs w:val="28"/>
        </w:rPr>
        <w:t>八、保密</w:t>
      </w:r>
    </w:p>
    <w:p w14:paraId="7BC1A1B2">
      <w:pPr>
        <w:spacing w:line="50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双方应对互相提供的一切资料给予保密，未经对方书面同意不得向第三者透露。</w:t>
      </w:r>
    </w:p>
    <w:p w14:paraId="59DCBBFC">
      <w:pPr>
        <w:spacing w:line="500" w:lineRule="exact"/>
        <w:rPr>
          <w:rFonts w:ascii="仿宋_GB2312" w:hAnsi="仿宋_GB2312" w:eastAsia="仿宋_GB2312" w:cs="仿宋_GB2312"/>
          <w:b/>
          <w:color w:val="000000"/>
          <w:sz w:val="28"/>
          <w:szCs w:val="28"/>
        </w:rPr>
      </w:pPr>
      <w:r>
        <w:rPr>
          <w:rFonts w:hint="eastAsia" w:ascii="仿宋_GB2312" w:hAnsi="仿宋_GB2312" w:eastAsia="仿宋_GB2312" w:cs="仿宋_GB2312"/>
          <w:b/>
          <w:color w:val="000000"/>
          <w:sz w:val="28"/>
          <w:szCs w:val="28"/>
        </w:rPr>
        <w:t>九、合同生效、变更和失效</w:t>
      </w:r>
    </w:p>
    <w:p w14:paraId="021F5983">
      <w:pPr>
        <w:spacing w:line="500" w:lineRule="exact"/>
        <w:ind w:firstLine="560" w:firstLineChars="200"/>
        <w:rPr>
          <w:rFonts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9.1 本合同从双方当事人签字盖章之日起生效，一式</w:t>
      </w:r>
      <w:r>
        <w:rPr>
          <w:rFonts w:hint="eastAsia" w:ascii="仿宋_GB2312" w:hAnsi="仿宋_GB2312" w:eastAsia="仿宋_GB2312" w:cs="仿宋_GB2312"/>
          <w:bCs/>
          <w:color w:val="000000"/>
          <w:sz w:val="28"/>
          <w:szCs w:val="28"/>
          <w:u w:val="single"/>
        </w:rPr>
        <w:t xml:space="preserve"> 肆 </w:t>
      </w:r>
      <w:r>
        <w:rPr>
          <w:rFonts w:hint="eastAsia" w:ascii="仿宋_GB2312" w:hAnsi="仿宋_GB2312" w:eastAsia="仿宋_GB2312" w:cs="仿宋_GB2312"/>
          <w:bCs/>
          <w:color w:val="000000"/>
          <w:sz w:val="28"/>
          <w:szCs w:val="28"/>
        </w:rPr>
        <w:t>份，具有同等的法律效力，双方各执</w:t>
      </w:r>
      <w:r>
        <w:rPr>
          <w:rFonts w:hint="eastAsia" w:ascii="仿宋_GB2312" w:hAnsi="仿宋_GB2312" w:eastAsia="仿宋_GB2312" w:cs="仿宋_GB2312"/>
          <w:bCs/>
          <w:color w:val="000000"/>
          <w:sz w:val="28"/>
          <w:szCs w:val="28"/>
          <w:u w:val="single"/>
        </w:rPr>
        <w:t xml:space="preserve"> 贰 </w:t>
      </w:r>
      <w:r>
        <w:rPr>
          <w:rFonts w:hint="eastAsia" w:ascii="仿宋_GB2312" w:hAnsi="仿宋_GB2312" w:eastAsia="仿宋_GB2312" w:cs="仿宋_GB2312"/>
          <w:bCs/>
          <w:color w:val="000000"/>
          <w:sz w:val="28"/>
          <w:szCs w:val="28"/>
        </w:rPr>
        <w:t>份。</w:t>
      </w:r>
    </w:p>
    <w:p w14:paraId="5ED457B5">
      <w:pPr>
        <w:spacing w:line="500" w:lineRule="exact"/>
        <w:ind w:firstLine="560" w:firstLineChars="200"/>
        <w:rPr>
          <w:rFonts w:ascii="仿宋_GB2312" w:hAnsi="仿宋_GB2312" w:eastAsia="仿宋_GB2312" w:cs="仿宋_GB2312"/>
          <w:b/>
          <w:color w:val="000000"/>
          <w:sz w:val="28"/>
          <w:szCs w:val="28"/>
        </w:rPr>
      </w:pPr>
      <w:r>
        <w:rPr>
          <w:rFonts w:hint="eastAsia" w:ascii="仿宋_GB2312" w:hAnsi="仿宋_GB2312" w:eastAsia="仿宋_GB2312" w:cs="仿宋_GB2312"/>
          <w:bCs/>
          <w:color w:val="000000"/>
          <w:sz w:val="28"/>
          <w:szCs w:val="28"/>
        </w:rPr>
        <w:t>9.2 本合同在履行过程中因业务需要对本协议现有内容进行补充、变更、修改时，由双方协商并以书面形式形成补充协议，经双方签字盖章后方可生效，生效的补充协议与本合同具有同等法律效力。</w:t>
      </w:r>
    </w:p>
    <w:p w14:paraId="07821837">
      <w:pPr>
        <w:spacing w:line="500" w:lineRule="exact"/>
        <w:rPr>
          <w:rFonts w:ascii="仿宋_GB2312" w:hAnsi="仿宋_GB2312" w:eastAsia="仿宋_GB2312" w:cs="仿宋_GB2312"/>
          <w:b/>
          <w:color w:val="000000"/>
          <w:sz w:val="28"/>
          <w:szCs w:val="28"/>
        </w:rPr>
      </w:pPr>
      <w:r>
        <w:rPr>
          <w:rFonts w:hint="eastAsia" w:ascii="仿宋_GB2312" w:hAnsi="仿宋_GB2312" w:eastAsia="仿宋_GB2312" w:cs="仿宋_GB2312"/>
          <w:b/>
          <w:color w:val="000000"/>
          <w:sz w:val="28"/>
          <w:szCs w:val="28"/>
        </w:rPr>
        <w:t>十、其他条款</w:t>
      </w:r>
    </w:p>
    <w:p w14:paraId="189A8E3F">
      <w:pPr>
        <w:spacing w:line="50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10.1 乙方保证所交付的货物不侵犯任何他方的知识产权，乙方保证甲方在使用货物时不受任何第三方提出侵犯知识产权的起诉。如果任何第三方提出侵权指控，乙方须与第三方交涉并承担可能发生的一切法律责任和费用。</w:t>
      </w:r>
    </w:p>
    <w:p w14:paraId="50B0C3D9">
      <w:pPr>
        <w:spacing w:line="50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10.2 改变货物型号、规格或变更本合同主要条款，双方须订立补充协议或双方确认的书面通知。</w:t>
      </w:r>
    </w:p>
    <w:p w14:paraId="4DE3B8AE">
      <w:pPr>
        <w:spacing w:line="50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10.3 非经双方协商同意，任何一方均不得随意变更或解除合同。如一方需要变更合同，双方应就变更事项达成书面协议并盖公章或合同章予以确认。如双方就变更事项不能达成一致意见的，提议变更方仍应依本合同约定继续履行，否则视为违约。</w:t>
      </w:r>
    </w:p>
    <w:p w14:paraId="6149E61D">
      <w:pPr>
        <w:spacing w:line="500" w:lineRule="exact"/>
        <w:ind w:firstLine="560" w:firstLineChars="200"/>
        <w:rPr>
          <w:rFonts w:ascii="仿宋_GB2312" w:hAnsi="仿宋_GB2312" w:eastAsia="仿宋_GB2312" w:cs="仿宋_GB2312"/>
          <w:color w:val="000000"/>
          <w:sz w:val="28"/>
          <w:szCs w:val="28"/>
        </w:rPr>
      </w:pPr>
    </w:p>
    <w:p w14:paraId="4FCF616A">
      <w:pPr>
        <w:spacing w:line="50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（以下无正文）</w:t>
      </w:r>
    </w:p>
    <w:p w14:paraId="3C41D7F8">
      <w:pPr>
        <w:spacing w:line="460" w:lineRule="exact"/>
        <w:ind w:left="10" w:firstLine="548" w:firstLineChars="196"/>
        <w:rPr>
          <w:rFonts w:ascii="宋体" w:hAnsi="宋体" w:eastAsia="宋体" w:cs="宋体"/>
          <w:sz w:val="28"/>
          <w:szCs w:val="28"/>
        </w:rPr>
      </w:pPr>
    </w:p>
    <w:p w14:paraId="0C07BB5C">
      <w:pPr>
        <w:spacing w:line="460" w:lineRule="exact"/>
        <w:rPr>
          <w:rFonts w:ascii="宋体" w:hAnsi="宋体" w:eastAsia="宋体" w:cs="宋体"/>
          <w:sz w:val="28"/>
          <w:szCs w:val="28"/>
        </w:rPr>
      </w:pPr>
    </w:p>
    <w:tbl>
      <w:tblPr>
        <w:tblStyle w:val="3"/>
        <w:tblW w:w="8535" w:type="dxa"/>
        <w:jc w:val="center"/>
        <w:tblLayout w:type="fixed"/>
        <w:tblCellMar>
          <w:top w:w="0" w:type="dxa"/>
          <w:left w:w="108" w:type="dxa"/>
          <w:bottom w:w="0" w:type="dxa"/>
          <w:right w:w="108" w:type="dxa"/>
        </w:tblCellMar>
      </w:tblPr>
      <w:tblGrid>
        <w:gridCol w:w="4309"/>
        <w:gridCol w:w="4226"/>
      </w:tblGrid>
      <w:tr w14:paraId="4E707A87">
        <w:tblPrEx>
          <w:tblCellMar>
            <w:top w:w="0" w:type="dxa"/>
            <w:left w:w="108" w:type="dxa"/>
            <w:bottom w:w="0" w:type="dxa"/>
            <w:right w:w="108" w:type="dxa"/>
          </w:tblCellMar>
        </w:tblPrEx>
        <w:trPr>
          <w:trHeight w:val="3362" w:hRule="atLeast"/>
          <w:jc w:val="center"/>
        </w:trPr>
        <w:tc>
          <w:tcPr>
            <w:tcW w:w="4309" w:type="dxa"/>
          </w:tcPr>
          <w:p w14:paraId="7B1F01EB">
            <w:pPr>
              <w:spacing w:line="360" w:lineRule="auto"/>
              <w:rPr>
                <w:rFonts w:ascii="宋体" w:hAnsi="宋体" w:eastAsia="宋体" w:cs="宋体"/>
                <w:sz w:val="24"/>
              </w:rPr>
            </w:pPr>
          </w:p>
          <w:p w14:paraId="3C5ADE40">
            <w:pPr>
              <w:spacing w:line="360" w:lineRule="auto"/>
              <w:rPr>
                <w:rFonts w:ascii="宋体" w:hAnsi="宋体" w:eastAsia="宋体" w:cs="宋体"/>
                <w:sz w:val="24"/>
                <w:u w:val="single"/>
              </w:rPr>
            </w:pPr>
            <w:r>
              <w:rPr>
                <w:rFonts w:hint="eastAsia" w:ascii="宋体" w:hAnsi="宋体" w:eastAsia="宋体" w:cs="宋体"/>
                <w:sz w:val="24"/>
              </w:rPr>
              <w:t>甲方（盖章）：</w:t>
            </w:r>
            <w:r>
              <w:rPr>
                <w:rFonts w:hint="eastAsia" w:ascii="宋体" w:hAnsi="宋体" w:eastAsia="宋体" w:cs="宋体"/>
                <w:sz w:val="24"/>
                <w:u w:val="single"/>
              </w:rPr>
              <w:t>中铁五局集团有限公司</w:t>
            </w:r>
          </w:p>
          <w:p w14:paraId="531B07EA">
            <w:pPr>
              <w:spacing w:line="360" w:lineRule="auto"/>
              <w:rPr>
                <w:rFonts w:ascii="宋体" w:hAnsi="宋体" w:eastAsia="宋体" w:cs="宋体"/>
                <w:sz w:val="24"/>
              </w:rPr>
            </w:pPr>
            <w:r>
              <w:rPr>
                <w:rFonts w:hint="eastAsia" w:ascii="Times New Roman" w:hAnsi="Times New Roman" w:eastAsia="宋体" w:cs="Times New Roman"/>
                <w:kern w:val="0"/>
                <w:sz w:val="20"/>
              </w:rPr>
              <w:t xml:space="preserve"> </w:t>
            </w:r>
            <w:r>
              <w:rPr>
                <w:rFonts w:hint="eastAsia" w:ascii="宋体" w:hAnsi="宋体" w:eastAsia="宋体" w:cs="宋体"/>
                <w:sz w:val="24"/>
                <w:u w:val="single"/>
              </w:rPr>
              <w:t xml:space="preserve">勘察设计分公司 </w:t>
            </w:r>
          </w:p>
          <w:p w14:paraId="57D61842">
            <w:pPr>
              <w:spacing w:line="360" w:lineRule="auto"/>
              <w:rPr>
                <w:rFonts w:ascii="宋体" w:hAnsi="宋体" w:eastAsia="宋体" w:cs="宋体"/>
                <w:sz w:val="24"/>
              </w:rPr>
            </w:pPr>
            <w:r>
              <w:rPr>
                <w:rFonts w:hint="eastAsia" w:ascii="宋体" w:hAnsi="宋体" w:eastAsia="宋体" w:cs="宋体"/>
                <w:sz w:val="24"/>
              </w:rPr>
              <w:t>法人或授权代表签字：</w:t>
            </w:r>
          </w:p>
          <w:p w14:paraId="77FD8404">
            <w:pPr>
              <w:spacing w:line="360" w:lineRule="auto"/>
              <w:rPr>
                <w:rFonts w:ascii="宋体" w:hAnsi="宋体" w:eastAsia="宋体" w:cs="宋体"/>
                <w:sz w:val="24"/>
              </w:rPr>
            </w:pPr>
          </w:p>
          <w:p w14:paraId="1180332B">
            <w:pPr>
              <w:spacing w:line="360" w:lineRule="auto"/>
              <w:rPr>
                <w:rFonts w:ascii="宋体" w:hAnsi="宋体" w:eastAsia="宋体" w:cs="宋体"/>
                <w:sz w:val="24"/>
              </w:rPr>
            </w:pPr>
            <w:r>
              <w:rPr>
                <w:rFonts w:hint="eastAsia" w:ascii="宋体" w:hAnsi="宋体" w:eastAsia="宋体" w:cs="宋体"/>
                <w:sz w:val="24"/>
              </w:rPr>
              <w:t xml:space="preserve">签订日期 ：   年   月   日 </w:t>
            </w:r>
          </w:p>
          <w:p w14:paraId="2FF4CC27">
            <w:pPr>
              <w:spacing w:line="360" w:lineRule="auto"/>
              <w:rPr>
                <w:rFonts w:ascii="宋体" w:hAnsi="宋体" w:eastAsia="宋体" w:cs="宋体"/>
                <w:sz w:val="24"/>
              </w:rPr>
            </w:pPr>
            <w:r>
              <w:rPr>
                <w:rFonts w:hint="eastAsia" w:ascii="宋体" w:hAnsi="宋体" w:eastAsia="宋体" w:cs="宋体"/>
                <w:sz w:val="24"/>
              </w:rPr>
              <w:t>开户银行：</w:t>
            </w:r>
            <w:r>
              <w:rPr>
                <w:rFonts w:hint="eastAsia" w:ascii="宋体" w:hAnsi="宋体" w:cs="宋体"/>
                <w:sz w:val="24"/>
              </w:rPr>
              <w:t>中国建设银行股份有限公司长沙韶山南路支行</w:t>
            </w:r>
          </w:p>
          <w:p w14:paraId="18C5801F">
            <w:pPr>
              <w:wordWrap w:val="0"/>
              <w:rPr>
                <w:rFonts w:ascii="宋体" w:hAnsi="宋体" w:eastAsia="宋体" w:cs="宋体"/>
                <w:sz w:val="24"/>
              </w:rPr>
            </w:pPr>
            <w:r>
              <w:rPr>
                <w:rFonts w:hint="eastAsia" w:ascii="宋体" w:hAnsi="宋体" w:eastAsia="宋体" w:cs="宋体"/>
                <w:sz w:val="24"/>
              </w:rPr>
              <w:t>银行帐号：</w:t>
            </w:r>
            <w:r>
              <w:rPr>
                <w:rFonts w:hint="eastAsia" w:ascii="宋体" w:hAnsi="宋体" w:cs="宋体"/>
                <w:sz w:val="24"/>
              </w:rPr>
              <w:t>4305 0179 4036 0000 1279</w:t>
            </w:r>
          </w:p>
        </w:tc>
        <w:tc>
          <w:tcPr>
            <w:tcW w:w="4226" w:type="dxa"/>
          </w:tcPr>
          <w:p w14:paraId="30D6752A">
            <w:pPr>
              <w:spacing w:line="360" w:lineRule="auto"/>
              <w:rPr>
                <w:rFonts w:ascii="宋体" w:hAnsi="宋体" w:eastAsia="宋体" w:cs="宋体"/>
                <w:sz w:val="24"/>
              </w:rPr>
            </w:pPr>
          </w:p>
          <w:p w14:paraId="4742DF1C">
            <w:pPr>
              <w:spacing w:line="360" w:lineRule="auto"/>
              <w:rPr>
                <w:rFonts w:ascii="宋体" w:hAnsi="宋体" w:eastAsia="宋体" w:cs="宋体"/>
                <w:sz w:val="24"/>
                <w:u w:val="single"/>
              </w:rPr>
            </w:pPr>
            <w:r>
              <w:rPr>
                <w:rFonts w:hint="eastAsia" w:ascii="宋体" w:hAnsi="宋体" w:eastAsia="宋体" w:cs="宋体"/>
                <w:sz w:val="24"/>
              </w:rPr>
              <w:t>乙方（签章）：</w:t>
            </w:r>
            <w:r>
              <w:rPr>
                <w:rFonts w:hint="eastAsia" w:ascii="宋体" w:hAnsi="宋体" w:eastAsia="宋体" w:cs="宋体"/>
                <w:sz w:val="24"/>
                <w:u w:val="single"/>
              </w:rPr>
              <w:t xml:space="preserve">昕彤赋能（长沙）人工智能行业应用系统有限公司 </w:t>
            </w:r>
          </w:p>
          <w:p w14:paraId="7AED23F3">
            <w:pPr>
              <w:spacing w:line="360" w:lineRule="auto"/>
              <w:rPr>
                <w:rFonts w:ascii="宋体" w:hAnsi="宋体" w:eastAsia="宋体" w:cs="宋体"/>
                <w:sz w:val="24"/>
              </w:rPr>
            </w:pPr>
            <w:r>
              <w:rPr>
                <w:rFonts w:hint="eastAsia" w:ascii="宋体" w:hAnsi="宋体" w:eastAsia="宋体" w:cs="宋体"/>
                <w:sz w:val="24"/>
              </w:rPr>
              <w:t>法人或授权代表签字：</w:t>
            </w:r>
          </w:p>
          <w:p w14:paraId="384F124C">
            <w:pPr>
              <w:spacing w:line="360" w:lineRule="auto"/>
              <w:rPr>
                <w:rFonts w:ascii="宋体" w:hAnsi="宋体" w:eastAsia="宋体" w:cs="宋体"/>
                <w:sz w:val="24"/>
              </w:rPr>
            </w:pPr>
          </w:p>
          <w:p w14:paraId="4A9971FB">
            <w:pPr>
              <w:spacing w:line="360" w:lineRule="auto"/>
              <w:rPr>
                <w:rFonts w:ascii="宋体" w:hAnsi="宋体" w:eastAsia="宋体" w:cs="宋体"/>
                <w:sz w:val="24"/>
              </w:rPr>
            </w:pPr>
            <w:r>
              <w:rPr>
                <w:rFonts w:hint="eastAsia" w:ascii="宋体" w:hAnsi="宋体" w:eastAsia="宋体" w:cs="宋体"/>
                <w:sz w:val="24"/>
              </w:rPr>
              <w:t xml:space="preserve">签订日期 ：   年   月   日 </w:t>
            </w:r>
          </w:p>
          <w:p w14:paraId="4431C735">
            <w:pPr>
              <w:spacing w:line="360" w:lineRule="auto"/>
              <w:rPr>
                <w:rFonts w:ascii="宋体" w:hAnsi="宋体" w:eastAsia="宋体" w:cs="宋体"/>
                <w:sz w:val="24"/>
              </w:rPr>
            </w:pPr>
            <w:r>
              <w:rPr>
                <w:rFonts w:hint="eastAsia" w:ascii="宋体" w:hAnsi="宋体" w:eastAsia="宋体" w:cs="宋体"/>
                <w:sz w:val="24"/>
              </w:rPr>
              <w:t xml:space="preserve">开户银行：浙商银行长沙分行营业部 </w:t>
            </w:r>
          </w:p>
          <w:p w14:paraId="1EE3AA24">
            <w:pPr>
              <w:spacing w:line="360" w:lineRule="auto"/>
              <w:jc w:val="left"/>
              <w:rPr>
                <w:rFonts w:ascii="宋体" w:hAnsi="宋体" w:eastAsia="宋体" w:cs="宋体"/>
                <w:sz w:val="24"/>
              </w:rPr>
            </w:pPr>
            <w:r>
              <w:rPr>
                <w:rFonts w:hint="eastAsia" w:ascii="宋体" w:hAnsi="宋体" w:eastAsia="宋体" w:cs="宋体"/>
                <w:sz w:val="24"/>
              </w:rPr>
              <w:t>银行帐号：5510000010120100456881</w:t>
            </w:r>
          </w:p>
        </w:tc>
      </w:tr>
    </w:tbl>
    <w:p w14:paraId="08CEF4A5"/>
    <w:p w14:paraId="5017EA15"/>
    <w:p w14:paraId="33AC910F"/>
    <w:p w14:paraId="14A61BB2">
      <w:pPr>
        <w:sectPr>
          <w:pgSz w:w="11906" w:h="16838"/>
          <w:pgMar w:top="1440" w:right="1797" w:bottom="1440" w:left="1797" w:header="851" w:footer="992" w:gutter="0"/>
          <w:cols w:space="425" w:num="1"/>
          <w:docGrid w:linePitch="312" w:charSpace="0"/>
        </w:sectPr>
      </w:pPr>
    </w:p>
    <w:p w14:paraId="46D25911">
      <w:pPr>
        <w:rPr>
          <w:rFonts w:ascii="方正小标宋简体" w:hAnsi="方正小标宋简体" w:eastAsia="方正小标宋简体" w:cs="方正小标宋简体"/>
          <w:sz w:val="28"/>
          <w:szCs w:val="28"/>
        </w:rPr>
      </w:pPr>
    </w:p>
    <w:p w14:paraId="0F7A1BB8">
      <w:pPr>
        <w:rPr>
          <w:rFonts w:ascii="方正小标宋简体" w:hAnsi="方正小标宋简体" w:eastAsia="方正小标宋简体" w:cs="方正小标宋简体"/>
          <w:sz w:val="28"/>
          <w:szCs w:val="28"/>
        </w:rPr>
      </w:pPr>
      <w:r>
        <w:rPr>
          <w:rFonts w:hint="eastAsia" w:ascii="方正小标宋简体" w:hAnsi="方正小标宋简体" w:eastAsia="方正小标宋简体" w:cs="方正小标宋简体"/>
          <w:sz w:val="28"/>
          <w:szCs w:val="28"/>
        </w:rPr>
        <w:t>附件一：</w:t>
      </w:r>
    </w:p>
    <w:p w14:paraId="584E5FD5">
      <w:pPr>
        <w:jc w:val="center"/>
        <w:rPr>
          <w:rFonts w:ascii="方正小标宋简体" w:hAnsi="方正小标宋简体" w:eastAsia="方正小标宋简体" w:cs="方正小标宋简体"/>
          <w:sz w:val="28"/>
          <w:szCs w:val="28"/>
        </w:rPr>
      </w:pPr>
    </w:p>
    <w:p w14:paraId="58945093">
      <w:pPr>
        <w:jc w:val="center"/>
        <w:rPr>
          <w:rFonts w:ascii="方正小标宋简体" w:hAnsi="方正小标宋简体" w:eastAsia="方正小标宋简体" w:cs="方正小标宋简体"/>
          <w:sz w:val="28"/>
          <w:szCs w:val="28"/>
        </w:rPr>
      </w:pPr>
      <w:r>
        <w:rPr>
          <w:rFonts w:hint="eastAsia" w:ascii="方正小标宋简体" w:hAnsi="方正小标宋简体" w:eastAsia="方正小标宋简体" w:cs="方正小标宋简体"/>
          <w:sz w:val="28"/>
          <w:szCs w:val="28"/>
        </w:rPr>
        <w:t>中铁五局长赣高铁湖南段项目隧道风机空气治理智能操控系统价格清单</w:t>
      </w:r>
    </w:p>
    <w:p w14:paraId="41EE2E89">
      <w:pPr>
        <w:jc w:val="center"/>
        <w:rPr>
          <w:rFonts w:ascii="方正小标宋简体" w:hAnsi="方正小标宋简体" w:eastAsia="方正小标宋简体" w:cs="方正小标宋简体"/>
          <w:sz w:val="28"/>
          <w:szCs w:val="28"/>
        </w:rPr>
      </w:pPr>
    </w:p>
    <w:tbl>
      <w:tblPr>
        <w:tblStyle w:val="3"/>
        <w:tblW w:w="14174" w:type="dxa"/>
        <w:jc w:val="center"/>
        <w:tblLayout w:type="autofit"/>
        <w:tblCellMar>
          <w:top w:w="0" w:type="dxa"/>
          <w:left w:w="108" w:type="dxa"/>
          <w:bottom w:w="0" w:type="dxa"/>
          <w:right w:w="108" w:type="dxa"/>
        </w:tblCellMar>
      </w:tblPr>
      <w:tblGrid>
        <w:gridCol w:w="500"/>
        <w:gridCol w:w="1965"/>
        <w:gridCol w:w="7637"/>
        <w:gridCol w:w="500"/>
        <w:gridCol w:w="500"/>
        <w:gridCol w:w="1078"/>
        <w:gridCol w:w="1084"/>
        <w:gridCol w:w="910"/>
      </w:tblGrid>
      <w:tr w14:paraId="4D523282">
        <w:trPr>
          <w:trHeight w:val="0" w:hRule="atLeast"/>
          <w:tblHeade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0B0940">
            <w:pPr>
              <w:widowControl/>
              <w:snapToGrid w:val="0"/>
              <w:ind w:left="0" w:leftChars="0" w:right="0" w:rightChars="0" w:firstLine="0" w:firstLineChars="0"/>
              <w:jc w:val="center"/>
              <w:textAlignment w:val="center"/>
              <w:rPr>
                <w:rFonts w:ascii="微软雅黑" w:hAnsi="微软雅黑" w:eastAsia="微软雅黑" w:cs="微软雅黑"/>
                <w:b/>
                <w:bCs/>
                <w:sz w:val="24"/>
                <w:szCs w:val="24"/>
              </w:rPr>
            </w:pPr>
            <w:r>
              <w:rPr>
                <w:rFonts w:hint="eastAsia" w:ascii="微软雅黑" w:hAnsi="微软雅黑" w:eastAsia="微软雅黑" w:cs="微软雅黑"/>
                <w:b/>
                <w:bCs/>
                <w:kern w:val="0"/>
                <w:sz w:val="24"/>
                <w:szCs w:val="24"/>
                <w:lang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DDCDD8">
            <w:pPr>
              <w:widowControl/>
              <w:snapToGrid w:val="0"/>
              <w:ind w:left="0" w:leftChars="0" w:right="0" w:rightChars="0" w:firstLine="0" w:firstLineChars="0"/>
              <w:jc w:val="center"/>
              <w:textAlignment w:val="center"/>
              <w:rPr>
                <w:rFonts w:ascii="微软雅黑" w:hAnsi="微软雅黑" w:eastAsia="微软雅黑" w:cs="微软雅黑"/>
                <w:b/>
                <w:bCs/>
                <w:sz w:val="24"/>
                <w:szCs w:val="24"/>
              </w:rPr>
            </w:pPr>
            <w:r>
              <w:rPr>
                <w:rFonts w:hint="eastAsia" w:ascii="微软雅黑" w:hAnsi="微软雅黑" w:eastAsia="微软雅黑" w:cs="微软雅黑"/>
                <w:b/>
                <w:bCs/>
                <w:kern w:val="0"/>
                <w:sz w:val="24"/>
                <w:szCs w:val="24"/>
                <w:lang w:bidi="ar"/>
              </w:rPr>
              <w:t>名称</w:t>
            </w:r>
          </w:p>
        </w:tc>
        <w:tc>
          <w:tcPr>
            <w:tcW w:w="76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0EB929">
            <w:pPr>
              <w:widowControl/>
              <w:snapToGrid w:val="0"/>
              <w:ind w:left="0" w:leftChars="0" w:right="0" w:rightChars="0" w:firstLine="0" w:firstLineChars="0"/>
              <w:jc w:val="center"/>
              <w:textAlignment w:val="center"/>
              <w:rPr>
                <w:rFonts w:ascii="微软雅黑" w:hAnsi="微软雅黑" w:eastAsia="微软雅黑" w:cs="微软雅黑"/>
                <w:b/>
                <w:bCs/>
                <w:sz w:val="24"/>
                <w:szCs w:val="24"/>
              </w:rPr>
            </w:pPr>
            <w:r>
              <w:rPr>
                <w:rFonts w:hint="eastAsia" w:ascii="微软雅黑" w:hAnsi="微软雅黑" w:eastAsia="微软雅黑" w:cs="微软雅黑"/>
                <w:b/>
                <w:bCs/>
                <w:kern w:val="0"/>
                <w:sz w:val="24"/>
                <w:szCs w:val="24"/>
                <w:lang w:bidi="ar"/>
              </w:rPr>
              <w:t>服务详情</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7571FD">
            <w:pPr>
              <w:widowControl/>
              <w:snapToGrid w:val="0"/>
              <w:ind w:left="0" w:leftChars="0" w:right="0" w:rightChars="0" w:firstLine="0" w:firstLineChars="0"/>
              <w:jc w:val="center"/>
              <w:textAlignment w:val="center"/>
              <w:rPr>
                <w:rFonts w:ascii="微软雅黑" w:hAnsi="微软雅黑" w:eastAsia="微软雅黑" w:cs="微软雅黑"/>
                <w:b/>
                <w:bCs/>
                <w:sz w:val="24"/>
                <w:szCs w:val="24"/>
              </w:rPr>
            </w:pPr>
            <w:r>
              <w:rPr>
                <w:rFonts w:hint="eastAsia" w:ascii="微软雅黑" w:hAnsi="微软雅黑" w:eastAsia="微软雅黑" w:cs="微软雅黑"/>
                <w:b/>
                <w:bCs/>
                <w:kern w:val="0"/>
                <w:sz w:val="24"/>
                <w:szCs w:val="24"/>
                <w:lang w:bidi="ar"/>
              </w:rPr>
              <w:t>数量</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F1A4BD">
            <w:pPr>
              <w:widowControl/>
              <w:snapToGrid w:val="0"/>
              <w:ind w:left="0" w:leftChars="0" w:right="0" w:rightChars="0" w:firstLine="0" w:firstLineChars="0"/>
              <w:jc w:val="center"/>
              <w:textAlignment w:val="center"/>
              <w:rPr>
                <w:rFonts w:ascii="微软雅黑" w:hAnsi="微软雅黑" w:eastAsia="微软雅黑" w:cs="微软雅黑"/>
                <w:b/>
                <w:bCs/>
                <w:sz w:val="24"/>
                <w:szCs w:val="24"/>
              </w:rPr>
            </w:pPr>
            <w:r>
              <w:rPr>
                <w:rFonts w:hint="eastAsia" w:ascii="微软雅黑" w:hAnsi="微软雅黑" w:eastAsia="微软雅黑" w:cs="微软雅黑"/>
                <w:b/>
                <w:bCs/>
                <w:kern w:val="0"/>
                <w:sz w:val="24"/>
                <w:szCs w:val="24"/>
                <w:lang w:bidi="ar"/>
              </w:rPr>
              <w:t>单位</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F89D10">
            <w:pPr>
              <w:widowControl/>
              <w:snapToGrid w:val="0"/>
              <w:ind w:left="0" w:leftChars="0" w:right="0" w:rightChars="0" w:firstLine="0" w:firstLineChars="0"/>
              <w:jc w:val="center"/>
              <w:textAlignment w:val="center"/>
              <w:rPr>
                <w:rFonts w:hint="eastAsia" w:ascii="微软雅黑" w:hAnsi="微软雅黑" w:eastAsia="微软雅黑" w:cs="微软雅黑"/>
                <w:b/>
                <w:bCs/>
                <w:kern w:val="0"/>
                <w:sz w:val="24"/>
                <w:szCs w:val="24"/>
                <w:lang w:bidi="ar"/>
              </w:rPr>
            </w:pPr>
            <w:r>
              <w:rPr>
                <w:rFonts w:hint="eastAsia" w:ascii="微软雅黑" w:hAnsi="微软雅黑" w:eastAsia="微软雅黑" w:cs="微软雅黑"/>
                <w:b/>
                <w:bCs/>
                <w:kern w:val="0"/>
                <w:sz w:val="24"/>
                <w:szCs w:val="24"/>
                <w:lang w:bidi="ar"/>
              </w:rPr>
              <w:t>含税单价</w:t>
            </w:r>
          </w:p>
          <w:p w14:paraId="4CDBCF12">
            <w:pPr>
              <w:widowControl/>
              <w:snapToGrid w:val="0"/>
              <w:ind w:left="0" w:leftChars="0" w:right="0" w:rightChars="0" w:firstLine="0" w:firstLineChars="0"/>
              <w:jc w:val="center"/>
              <w:textAlignment w:val="center"/>
              <w:rPr>
                <w:rFonts w:ascii="微软雅黑" w:hAnsi="微软雅黑" w:eastAsia="微软雅黑" w:cs="微软雅黑"/>
                <w:b/>
                <w:bCs/>
                <w:sz w:val="24"/>
                <w:szCs w:val="24"/>
              </w:rPr>
            </w:pPr>
            <w:r>
              <w:rPr>
                <w:rFonts w:hint="eastAsia" w:ascii="微软雅黑" w:hAnsi="微软雅黑" w:eastAsia="微软雅黑" w:cs="微软雅黑"/>
                <w:b/>
                <w:bCs/>
                <w:kern w:val="0"/>
                <w:sz w:val="24"/>
                <w:szCs w:val="24"/>
                <w:lang w:bidi="ar"/>
              </w:rPr>
              <w:t>（元）</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A280DB">
            <w:pPr>
              <w:widowControl/>
              <w:snapToGrid w:val="0"/>
              <w:ind w:left="0" w:leftChars="0" w:right="0" w:rightChars="0" w:firstLine="0" w:firstLineChars="0"/>
              <w:jc w:val="center"/>
              <w:textAlignment w:val="center"/>
              <w:rPr>
                <w:rFonts w:hint="eastAsia" w:ascii="微软雅黑" w:hAnsi="微软雅黑" w:eastAsia="微软雅黑" w:cs="微软雅黑"/>
                <w:b/>
                <w:bCs/>
                <w:kern w:val="0"/>
                <w:sz w:val="24"/>
                <w:szCs w:val="24"/>
                <w:lang w:bidi="ar"/>
              </w:rPr>
            </w:pPr>
            <w:r>
              <w:rPr>
                <w:rFonts w:hint="eastAsia" w:ascii="微软雅黑" w:hAnsi="微软雅黑" w:eastAsia="微软雅黑" w:cs="微软雅黑"/>
                <w:b/>
                <w:bCs/>
                <w:kern w:val="0"/>
                <w:sz w:val="24"/>
                <w:szCs w:val="24"/>
                <w:lang w:bidi="ar"/>
              </w:rPr>
              <w:t>含税合价</w:t>
            </w:r>
          </w:p>
          <w:p w14:paraId="45857D1E">
            <w:pPr>
              <w:widowControl/>
              <w:snapToGrid w:val="0"/>
              <w:ind w:left="0" w:leftChars="0" w:right="0" w:rightChars="0" w:firstLine="0" w:firstLineChars="0"/>
              <w:jc w:val="center"/>
              <w:textAlignment w:val="center"/>
              <w:rPr>
                <w:rFonts w:ascii="微软雅黑" w:hAnsi="微软雅黑" w:eastAsia="微软雅黑" w:cs="微软雅黑"/>
                <w:b/>
                <w:bCs/>
                <w:sz w:val="24"/>
                <w:szCs w:val="24"/>
              </w:rPr>
            </w:pPr>
            <w:r>
              <w:rPr>
                <w:rFonts w:hint="eastAsia" w:ascii="微软雅黑" w:hAnsi="微软雅黑" w:eastAsia="微软雅黑" w:cs="微软雅黑"/>
                <w:b/>
                <w:bCs/>
                <w:kern w:val="0"/>
                <w:sz w:val="24"/>
                <w:szCs w:val="24"/>
                <w:lang w:bidi="ar"/>
              </w:rPr>
              <w:t>（元）</w:t>
            </w:r>
          </w:p>
        </w:tc>
        <w:tc>
          <w:tcPr>
            <w:tcW w:w="91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508C7A">
            <w:pPr>
              <w:widowControl/>
              <w:snapToGrid w:val="0"/>
              <w:ind w:left="0" w:leftChars="0" w:right="0" w:rightChars="0" w:firstLine="0" w:firstLineChars="0"/>
              <w:jc w:val="center"/>
              <w:textAlignment w:val="center"/>
              <w:rPr>
                <w:rFonts w:ascii="微软雅黑" w:hAnsi="微软雅黑" w:eastAsia="微软雅黑" w:cs="微软雅黑"/>
                <w:b/>
                <w:bCs/>
                <w:sz w:val="24"/>
                <w:szCs w:val="24"/>
              </w:rPr>
            </w:pPr>
            <w:r>
              <w:rPr>
                <w:rFonts w:hint="eastAsia" w:ascii="微软雅黑" w:hAnsi="微软雅黑" w:eastAsia="微软雅黑" w:cs="微软雅黑"/>
                <w:b/>
                <w:bCs/>
                <w:kern w:val="0"/>
                <w:sz w:val="24"/>
                <w:szCs w:val="24"/>
                <w:lang w:bidi="ar"/>
              </w:rPr>
              <w:t>备注</w:t>
            </w:r>
          </w:p>
        </w:tc>
      </w:tr>
      <w:tr w14:paraId="77952511">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87F01B">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094B3A">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AI环境策略智能体</w:t>
            </w:r>
          </w:p>
        </w:tc>
        <w:tc>
          <w:tcPr>
            <w:tcW w:w="76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84E47A">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基于深度学习、强化学习算法， 实现风机精准调频、根据多个目标值进行全局寻优控制，需搭配精准控风智能体协作。</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2E9A56">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FE7A96">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个</w:t>
            </w:r>
          </w:p>
        </w:tc>
        <w:tc>
          <w:tcPr>
            <w:tcW w:w="0" w:type="auto"/>
            <w:vMerge w:val="restart"/>
            <w:tcBorders>
              <w:top w:val="single" w:color="000000" w:sz="4" w:space="0"/>
              <w:left w:val="single" w:color="000000" w:sz="4" w:space="0"/>
              <w:right w:val="single" w:color="000000" w:sz="4" w:space="0"/>
            </w:tcBorders>
            <w:shd w:val="clear" w:color="auto" w:fill="auto"/>
            <w:vAlign w:val="center"/>
          </w:tcPr>
          <w:p w14:paraId="38D5D783">
            <w:pPr>
              <w:widowControl/>
              <w:snapToGrid w:val="0"/>
              <w:ind w:left="0" w:leftChars="0" w:right="0" w:rightChars="0" w:firstLine="0" w:firstLineChars="0"/>
              <w:jc w:val="right"/>
              <w:textAlignment w:val="center"/>
              <w:rPr>
                <w:rFonts w:hint="default" w:ascii="宋体" w:hAnsi="宋体" w:eastAsia="宋体" w:cs="宋体"/>
                <w:color w:val="08090C"/>
                <w:sz w:val="21"/>
                <w:szCs w:val="21"/>
                <w:lang w:val="en-US" w:eastAsia="zh-CN"/>
              </w:rPr>
            </w:pPr>
            <w:r>
              <w:rPr>
                <w:rFonts w:hint="eastAsia" w:ascii="宋体" w:hAnsi="宋体" w:eastAsia="宋体" w:cs="宋体"/>
                <w:color w:val="08090C"/>
                <w:sz w:val="21"/>
                <w:szCs w:val="21"/>
                <w:lang w:val="en-US" w:eastAsia="zh-CN"/>
              </w:rPr>
              <w:t>50000.00</w:t>
            </w:r>
          </w:p>
        </w:tc>
        <w:tc>
          <w:tcPr>
            <w:tcW w:w="0" w:type="auto"/>
            <w:vMerge w:val="restart"/>
            <w:tcBorders>
              <w:top w:val="single" w:color="000000" w:sz="4" w:space="0"/>
              <w:left w:val="single" w:color="000000" w:sz="4" w:space="0"/>
              <w:right w:val="single" w:color="000000" w:sz="4" w:space="0"/>
            </w:tcBorders>
            <w:shd w:val="clear" w:color="auto" w:fill="auto"/>
            <w:noWrap/>
            <w:vAlign w:val="center"/>
          </w:tcPr>
          <w:p w14:paraId="542A60A8">
            <w:pPr>
              <w:widowControl/>
              <w:snapToGrid w:val="0"/>
              <w:ind w:left="0" w:leftChars="0" w:right="0" w:rightChars="0" w:firstLine="0" w:firstLineChars="0"/>
              <w:jc w:val="right"/>
              <w:textAlignment w:val="center"/>
              <w:rPr>
                <w:rFonts w:hint="default" w:ascii="宋体" w:hAnsi="宋体" w:eastAsia="宋体" w:cs="宋体"/>
                <w:color w:val="000000"/>
                <w:sz w:val="21"/>
                <w:szCs w:val="24"/>
                <w:lang w:val="en-US" w:eastAsia="zh-CN"/>
              </w:rPr>
            </w:pPr>
            <w:r>
              <w:rPr>
                <w:rFonts w:hint="eastAsia" w:ascii="宋体" w:hAnsi="宋体" w:eastAsia="宋体" w:cs="宋体"/>
                <w:color w:val="000000"/>
                <w:sz w:val="21"/>
                <w:szCs w:val="24"/>
                <w:lang w:val="en-US" w:eastAsia="zh-CN"/>
              </w:rPr>
              <w:t>50000.00</w:t>
            </w:r>
          </w:p>
        </w:tc>
        <w:tc>
          <w:tcPr>
            <w:tcW w:w="910" w:type="dxa"/>
            <w:vMerge w:val="restart"/>
            <w:tcBorders>
              <w:top w:val="single" w:color="000000" w:sz="4" w:space="0"/>
              <w:left w:val="single" w:color="000000" w:sz="4" w:space="0"/>
              <w:right w:val="single" w:color="000000" w:sz="4" w:space="0"/>
            </w:tcBorders>
            <w:shd w:val="clear" w:color="auto" w:fill="auto"/>
            <w:noWrap/>
            <w:vAlign w:val="center"/>
          </w:tcPr>
          <w:p w14:paraId="54D32EB2">
            <w:pPr>
              <w:snapToGrid w:val="0"/>
              <w:ind w:left="0" w:leftChars="0" w:right="0" w:rightChars="0" w:firstLine="0" w:firstLineChars="0"/>
              <w:jc w:val="center"/>
              <w:rPr>
                <w:rFonts w:ascii="宋体" w:hAnsi="宋体" w:eastAsia="宋体" w:cs="宋体"/>
                <w:color w:val="000000"/>
                <w:sz w:val="21"/>
                <w:szCs w:val="24"/>
              </w:rPr>
            </w:pPr>
          </w:p>
        </w:tc>
      </w:tr>
      <w:tr w14:paraId="3CF0A853">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1D1884">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5E0473">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AI精准控风智能体</w:t>
            </w:r>
          </w:p>
        </w:tc>
        <w:tc>
          <w:tcPr>
            <w:tcW w:w="76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2EA93E">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隧道施工专用AI精准控风智能体，专为掌子面掘进、爆破出渣、施工扬尘与有害气体治理研发。依托环境气体、粉尘、温湿度、瓦斯浓度实时数据，结合CFD风流仿真与AI强化学习模型，动态自适应调整风机转速与接力通风策略，精准消除掌子面通风死角，杜绝瓦斯、CO积聚风险，实现施工期安全通风、按需送风、节能降尘，适配隧道动态掘进施工全流程。</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E4115D">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51D713">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个</w:t>
            </w:r>
          </w:p>
        </w:tc>
        <w:tc>
          <w:tcPr>
            <w:tcW w:w="0" w:type="auto"/>
            <w:vMerge w:val="continue"/>
            <w:tcBorders>
              <w:left w:val="single" w:color="000000" w:sz="4" w:space="0"/>
              <w:right w:val="single" w:color="000000" w:sz="4" w:space="0"/>
            </w:tcBorders>
            <w:shd w:val="clear" w:color="auto" w:fill="auto"/>
            <w:vAlign w:val="center"/>
          </w:tcPr>
          <w:p w14:paraId="69E74FBF">
            <w:pPr>
              <w:snapToGrid w:val="0"/>
              <w:ind w:left="0" w:leftChars="0" w:right="0" w:rightChars="0" w:firstLine="0" w:firstLineChars="0"/>
              <w:jc w:val="right"/>
              <w:rPr>
                <w:rFonts w:ascii="宋体" w:hAnsi="宋体" w:eastAsia="宋体" w:cs="宋体"/>
                <w:color w:val="08090C"/>
                <w:sz w:val="21"/>
                <w:szCs w:val="21"/>
              </w:rPr>
            </w:pPr>
          </w:p>
        </w:tc>
        <w:tc>
          <w:tcPr>
            <w:tcW w:w="0" w:type="auto"/>
            <w:vMerge w:val="continue"/>
            <w:tcBorders>
              <w:left w:val="single" w:color="000000" w:sz="4" w:space="0"/>
              <w:right w:val="single" w:color="000000" w:sz="4" w:space="0"/>
            </w:tcBorders>
            <w:shd w:val="clear" w:color="auto" w:fill="auto"/>
            <w:noWrap/>
            <w:vAlign w:val="center"/>
          </w:tcPr>
          <w:p w14:paraId="13630177">
            <w:pPr>
              <w:snapToGrid w:val="0"/>
              <w:ind w:left="0" w:leftChars="0" w:right="0" w:rightChars="0" w:firstLine="0" w:firstLineChars="0"/>
              <w:jc w:val="right"/>
              <w:rPr>
                <w:rFonts w:ascii="宋体" w:hAnsi="宋体" w:eastAsia="宋体" w:cs="宋体"/>
                <w:color w:val="000000"/>
                <w:sz w:val="21"/>
                <w:szCs w:val="24"/>
              </w:rPr>
            </w:pPr>
          </w:p>
        </w:tc>
        <w:tc>
          <w:tcPr>
            <w:tcW w:w="910" w:type="dxa"/>
            <w:vMerge w:val="continue"/>
            <w:tcBorders>
              <w:left w:val="single" w:color="000000" w:sz="4" w:space="0"/>
              <w:right w:val="single" w:color="000000" w:sz="4" w:space="0"/>
            </w:tcBorders>
            <w:shd w:val="clear" w:color="auto" w:fill="auto"/>
            <w:noWrap/>
            <w:vAlign w:val="center"/>
          </w:tcPr>
          <w:p w14:paraId="2AB86867">
            <w:pPr>
              <w:snapToGrid w:val="0"/>
              <w:ind w:left="0" w:leftChars="0" w:right="0" w:rightChars="0" w:firstLine="0" w:firstLineChars="0"/>
              <w:jc w:val="center"/>
              <w:rPr>
                <w:rFonts w:ascii="宋体" w:hAnsi="宋体" w:eastAsia="宋体" w:cs="宋体"/>
                <w:color w:val="000000"/>
                <w:sz w:val="21"/>
                <w:szCs w:val="24"/>
              </w:rPr>
            </w:pPr>
          </w:p>
        </w:tc>
      </w:tr>
      <w:tr w14:paraId="0505F0B3">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B59DAEA">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1A1E37">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隧道大气治理操作系统平台</w:t>
            </w:r>
          </w:p>
        </w:tc>
        <w:tc>
          <w:tcPr>
            <w:tcW w:w="76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C2AD5E">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隧道大气治理操作系统平台是整套通风系统的顶层管控中枢，对接防爆四合一检测仪、研华 ECU 网关、工业工控机、AI 算法服务器与工业路由器，统一采集隧道 CO、氧气、粉尘、风机工况全量数据；依托 AI 通风算法自动输出风机调速策略，实现大气污染实时监测、超标预警、智能通风降污、能耗统计、支持本地监控与远程云端访问，构建隧道大气环境闭环智能治理体系。</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EC2EC54">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E363E0">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套</w:t>
            </w:r>
          </w:p>
        </w:tc>
        <w:tc>
          <w:tcPr>
            <w:tcW w:w="0" w:type="auto"/>
            <w:vMerge w:val="continue"/>
            <w:tcBorders>
              <w:left w:val="single" w:color="000000" w:sz="4" w:space="0"/>
              <w:right w:val="single" w:color="000000" w:sz="4" w:space="0"/>
            </w:tcBorders>
            <w:shd w:val="clear" w:color="auto" w:fill="auto"/>
            <w:vAlign w:val="center"/>
          </w:tcPr>
          <w:p w14:paraId="00055E9F">
            <w:pPr>
              <w:snapToGrid w:val="0"/>
              <w:ind w:left="0" w:leftChars="0" w:right="0" w:rightChars="0" w:firstLine="0" w:firstLineChars="0"/>
              <w:jc w:val="right"/>
              <w:rPr>
                <w:rFonts w:ascii="宋体" w:hAnsi="宋体" w:eastAsia="宋体" w:cs="宋体"/>
                <w:color w:val="08090C"/>
                <w:sz w:val="21"/>
                <w:szCs w:val="21"/>
              </w:rPr>
            </w:pPr>
          </w:p>
        </w:tc>
        <w:tc>
          <w:tcPr>
            <w:tcW w:w="0" w:type="auto"/>
            <w:vMerge w:val="continue"/>
            <w:tcBorders>
              <w:left w:val="single" w:color="000000" w:sz="4" w:space="0"/>
              <w:right w:val="single" w:color="000000" w:sz="4" w:space="0"/>
            </w:tcBorders>
            <w:shd w:val="clear" w:color="auto" w:fill="auto"/>
            <w:noWrap/>
            <w:vAlign w:val="center"/>
          </w:tcPr>
          <w:p w14:paraId="179E3BD6">
            <w:pPr>
              <w:snapToGrid w:val="0"/>
              <w:ind w:left="0" w:leftChars="0" w:right="0" w:rightChars="0" w:firstLine="0" w:firstLineChars="0"/>
              <w:jc w:val="right"/>
              <w:rPr>
                <w:rFonts w:ascii="宋体" w:hAnsi="宋体" w:eastAsia="宋体" w:cs="宋体"/>
                <w:color w:val="000000"/>
                <w:sz w:val="21"/>
                <w:szCs w:val="24"/>
              </w:rPr>
            </w:pPr>
          </w:p>
        </w:tc>
        <w:tc>
          <w:tcPr>
            <w:tcW w:w="910" w:type="dxa"/>
            <w:vMerge w:val="continue"/>
            <w:tcBorders>
              <w:left w:val="single" w:color="000000" w:sz="4" w:space="0"/>
              <w:right w:val="single" w:color="000000" w:sz="4" w:space="0"/>
            </w:tcBorders>
            <w:shd w:val="clear" w:color="auto" w:fill="auto"/>
            <w:noWrap/>
            <w:vAlign w:val="center"/>
          </w:tcPr>
          <w:p w14:paraId="42E07FE3">
            <w:pPr>
              <w:snapToGrid w:val="0"/>
              <w:ind w:left="0" w:leftChars="0" w:right="0" w:rightChars="0" w:firstLine="0" w:firstLineChars="0"/>
              <w:jc w:val="center"/>
              <w:rPr>
                <w:rFonts w:ascii="宋体" w:hAnsi="宋体" w:eastAsia="宋体" w:cs="宋体"/>
                <w:color w:val="000000"/>
                <w:sz w:val="21"/>
                <w:szCs w:val="24"/>
              </w:rPr>
            </w:pPr>
          </w:p>
        </w:tc>
      </w:tr>
      <w:tr w14:paraId="5BB1B8B0">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ECAC5F">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C980858">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自控工程师实施费用</w:t>
            </w:r>
          </w:p>
        </w:tc>
        <w:tc>
          <w:tcPr>
            <w:tcW w:w="76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495E86">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自控工程师实施服务费：含现场设备接线调试、研华网关协议对接、风机控制逻辑编程、AI 服务器通讯联调、四合一检测仪数据接入、隧道大气治理平台组态、系统联调试运行、竣工交付培训全流程人工；按资深自控工程师人天计费，覆盖现场差旅、调试工具、售后现场整改服务。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B49986">
            <w:pPr>
              <w:widowControl/>
              <w:snapToGrid w:val="0"/>
              <w:ind w:left="0" w:leftChars="0" w:right="0" w:rightChars="0" w:firstLine="0" w:firstLineChars="0"/>
              <w:jc w:val="center"/>
              <w:textAlignment w:val="center"/>
              <w:rPr>
                <w:rFonts w:hint="eastAsia" w:ascii="宋体" w:hAnsi="宋体" w:eastAsia="宋体" w:cs="宋体"/>
                <w:color w:val="08090C"/>
                <w:sz w:val="21"/>
                <w:szCs w:val="21"/>
                <w:lang w:eastAsia="zh-CN"/>
              </w:rPr>
            </w:pPr>
            <w:r>
              <w:rPr>
                <w:rFonts w:hint="eastAsia" w:ascii="宋体" w:hAnsi="宋体" w:eastAsia="宋体" w:cs="宋体"/>
                <w:color w:val="08090C"/>
                <w:kern w:val="0"/>
                <w:sz w:val="21"/>
                <w:szCs w:val="21"/>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4BAD96">
            <w:pPr>
              <w:widowControl/>
              <w:snapToGrid w:val="0"/>
              <w:ind w:left="0" w:leftChars="0" w:right="0" w:rightChars="0" w:firstLine="0" w:firstLineChars="0"/>
              <w:jc w:val="left"/>
              <w:textAlignment w:val="center"/>
              <w:rPr>
                <w:rFonts w:ascii="宋体" w:hAnsi="宋体" w:eastAsia="宋体" w:cs="宋体"/>
                <w:color w:val="000000"/>
                <w:kern w:val="2"/>
                <w:sz w:val="21"/>
                <w:szCs w:val="24"/>
                <w:lang w:val="en-US" w:eastAsia="zh-CN" w:bidi="ar-SA"/>
              </w:rPr>
            </w:pPr>
          </w:p>
        </w:tc>
        <w:tc>
          <w:tcPr>
            <w:tcW w:w="0" w:type="auto"/>
            <w:vMerge w:val="continue"/>
            <w:tcBorders>
              <w:left w:val="single" w:color="000000" w:sz="4" w:space="0"/>
              <w:right w:val="single" w:color="000000" w:sz="4" w:space="0"/>
            </w:tcBorders>
            <w:shd w:val="clear" w:color="auto" w:fill="auto"/>
            <w:vAlign w:val="center"/>
          </w:tcPr>
          <w:p w14:paraId="354A1D4B">
            <w:pPr>
              <w:snapToGrid w:val="0"/>
              <w:ind w:left="0" w:leftChars="0" w:right="0" w:rightChars="0" w:firstLine="0" w:firstLineChars="0"/>
              <w:jc w:val="right"/>
              <w:rPr>
                <w:rFonts w:ascii="宋体" w:hAnsi="宋体" w:eastAsia="宋体" w:cs="宋体"/>
                <w:color w:val="08090C"/>
                <w:sz w:val="21"/>
                <w:szCs w:val="21"/>
              </w:rPr>
            </w:pPr>
          </w:p>
        </w:tc>
        <w:tc>
          <w:tcPr>
            <w:tcW w:w="0" w:type="auto"/>
            <w:vMerge w:val="continue"/>
            <w:tcBorders>
              <w:left w:val="single" w:color="000000" w:sz="4" w:space="0"/>
              <w:right w:val="single" w:color="000000" w:sz="4" w:space="0"/>
            </w:tcBorders>
            <w:shd w:val="clear" w:color="auto" w:fill="auto"/>
            <w:noWrap/>
            <w:vAlign w:val="center"/>
          </w:tcPr>
          <w:p w14:paraId="60D5B0D2">
            <w:pPr>
              <w:snapToGrid w:val="0"/>
              <w:ind w:left="0" w:leftChars="0" w:right="0" w:rightChars="0" w:firstLine="0" w:firstLineChars="0"/>
              <w:jc w:val="right"/>
              <w:rPr>
                <w:rFonts w:ascii="宋体" w:hAnsi="宋体" w:eastAsia="宋体" w:cs="宋体"/>
                <w:color w:val="000000"/>
                <w:sz w:val="21"/>
                <w:szCs w:val="24"/>
              </w:rPr>
            </w:pPr>
          </w:p>
        </w:tc>
        <w:tc>
          <w:tcPr>
            <w:tcW w:w="910" w:type="dxa"/>
            <w:vMerge w:val="continue"/>
            <w:tcBorders>
              <w:left w:val="single" w:color="000000" w:sz="4" w:space="0"/>
              <w:bottom w:val="single" w:color="000000" w:sz="4" w:space="0"/>
              <w:right w:val="single" w:color="000000" w:sz="4" w:space="0"/>
            </w:tcBorders>
            <w:shd w:val="clear" w:color="auto" w:fill="auto"/>
            <w:noWrap/>
            <w:vAlign w:val="center"/>
          </w:tcPr>
          <w:p w14:paraId="68F240AF">
            <w:pPr>
              <w:snapToGrid w:val="0"/>
              <w:ind w:left="0" w:leftChars="0" w:right="0" w:rightChars="0" w:firstLine="0" w:firstLineChars="0"/>
              <w:jc w:val="center"/>
              <w:rPr>
                <w:rFonts w:ascii="宋体" w:hAnsi="宋体" w:eastAsia="宋体" w:cs="宋体"/>
                <w:color w:val="000000"/>
                <w:sz w:val="21"/>
                <w:szCs w:val="24"/>
              </w:rPr>
            </w:pPr>
          </w:p>
        </w:tc>
      </w:tr>
      <w:tr w14:paraId="197F11DF">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77E6FA">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6A3F9F4">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AI算法服务器专业工控机</w:t>
            </w:r>
          </w:p>
        </w:tc>
        <w:tc>
          <w:tcPr>
            <w:tcW w:w="76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CACB21">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整套硬件由AI 算法服务器与工业级工控机协同部署，专为隧道智能风机智慧调控场景打造，作为现场边缘控制终端，高稳定工业硬件架构适配隧道严苛环境，接收服务器下发的 AI 控制指令，本地采集风机电流、转速、风门、隧道环境传感器数据，实现风机就地闭环控制、故障实时上报、本地断网兜底运行。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82D711">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32E7AB">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台</w:t>
            </w:r>
          </w:p>
        </w:tc>
        <w:tc>
          <w:tcPr>
            <w:tcW w:w="0" w:type="auto"/>
            <w:vMerge w:val="continue"/>
            <w:tcBorders>
              <w:left w:val="single" w:color="000000" w:sz="4" w:space="0"/>
              <w:right w:val="single" w:color="000000" w:sz="4" w:space="0"/>
            </w:tcBorders>
            <w:shd w:val="clear" w:color="auto" w:fill="auto"/>
            <w:vAlign w:val="center"/>
          </w:tcPr>
          <w:p w14:paraId="664DFF9A">
            <w:pPr>
              <w:widowControl/>
              <w:snapToGrid w:val="0"/>
              <w:ind w:left="0" w:leftChars="0" w:right="0" w:rightChars="0" w:firstLine="0" w:firstLineChars="0"/>
              <w:jc w:val="right"/>
              <w:textAlignment w:val="center"/>
              <w:rPr>
                <w:rFonts w:ascii="宋体" w:hAnsi="宋体" w:eastAsia="宋体" w:cs="宋体"/>
                <w:color w:val="08090C"/>
                <w:sz w:val="21"/>
                <w:szCs w:val="21"/>
              </w:rPr>
            </w:pPr>
          </w:p>
        </w:tc>
        <w:tc>
          <w:tcPr>
            <w:tcW w:w="0" w:type="auto"/>
            <w:vMerge w:val="continue"/>
            <w:tcBorders>
              <w:left w:val="single" w:color="000000" w:sz="4" w:space="0"/>
              <w:right w:val="single" w:color="000000" w:sz="4" w:space="0"/>
            </w:tcBorders>
            <w:shd w:val="clear" w:color="auto" w:fill="auto"/>
            <w:noWrap/>
            <w:vAlign w:val="center"/>
          </w:tcPr>
          <w:p w14:paraId="4A2147B1">
            <w:pPr>
              <w:widowControl/>
              <w:snapToGrid w:val="0"/>
              <w:ind w:left="0" w:leftChars="0" w:right="0" w:rightChars="0" w:firstLine="0" w:firstLineChars="0"/>
              <w:jc w:val="right"/>
              <w:textAlignment w:val="center"/>
              <w:rPr>
                <w:rFonts w:ascii="宋体" w:hAnsi="宋体" w:eastAsia="宋体" w:cs="宋体"/>
                <w:color w:val="000000"/>
                <w:sz w:val="21"/>
                <w:szCs w:val="24"/>
              </w:rPr>
            </w:pPr>
          </w:p>
        </w:tc>
        <w:tc>
          <w:tcPr>
            <w:tcW w:w="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052AD2">
            <w:pPr>
              <w:snapToGrid w:val="0"/>
              <w:ind w:left="0" w:leftChars="0" w:right="0" w:rightChars="0" w:firstLine="0" w:firstLineChars="0"/>
              <w:jc w:val="center"/>
              <w:rPr>
                <w:rFonts w:ascii="宋体" w:hAnsi="宋体" w:eastAsia="宋体" w:cs="宋体"/>
                <w:color w:val="000000"/>
                <w:sz w:val="21"/>
                <w:szCs w:val="24"/>
              </w:rPr>
            </w:pPr>
          </w:p>
        </w:tc>
      </w:tr>
      <w:tr w14:paraId="57C1716E">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0499321">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87AECB">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研华网关ECU-1051E-R10AA</w:t>
            </w:r>
          </w:p>
        </w:tc>
        <w:tc>
          <w:tcPr>
            <w:tcW w:w="76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D20089">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研华 ECU-1051E-R10AA 是轻量化工业物联网边缘通信网关，搭载 Cortex-A8 300MHz 处理器、128MB 内存，配备双百兆网口 + 两路隔离 RS232/485 串口，支持 Mini-PCIe 扩展 4G/WiFi 无线通讯。</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867E567">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943EF8B">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台</w:t>
            </w:r>
          </w:p>
        </w:tc>
        <w:tc>
          <w:tcPr>
            <w:tcW w:w="0" w:type="auto"/>
            <w:vMerge w:val="continue"/>
            <w:tcBorders>
              <w:left w:val="single" w:color="000000" w:sz="4" w:space="0"/>
              <w:right w:val="single" w:color="000000" w:sz="4" w:space="0"/>
            </w:tcBorders>
            <w:shd w:val="clear" w:color="auto" w:fill="auto"/>
            <w:vAlign w:val="center"/>
          </w:tcPr>
          <w:p w14:paraId="283971B9">
            <w:pPr>
              <w:widowControl/>
              <w:snapToGrid w:val="0"/>
              <w:ind w:left="0" w:leftChars="0" w:right="0" w:rightChars="0" w:firstLine="0" w:firstLineChars="0"/>
              <w:jc w:val="right"/>
              <w:textAlignment w:val="center"/>
              <w:rPr>
                <w:rFonts w:ascii="宋体" w:hAnsi="宋体" w:eastAsia="宋体" w:cs="宋体"/>
                <w:color w:val="08090C"/>
                <w:sz w:val="21"/>
                <w:szCs w:val="21"/>
              </w:rPr>
            </w:pPr>
          </w:p>
        </w:tc>
        <w:tc>
          <w:tcPr>
            <w:tcW w:w="0" w:type="auto"/>
            <w:vMerge w:val="continue"/>
            <w:tcBorders>
              <w:left w:val="single" w:color="000000" w:sz="4" w:space="0"/>
              <w:right w:val="single" w:color="000000" w:sz="4" w:space="0"/>
            </w:tcBorders>
            <w:shd w:val="clear" w:color="auto" w:fill="auto"/>
            <w:noWrap/>
            <w:vAlign w:val="center"/>
          </w:tcPr>
          <w:p w14:paraId="6B19E240">
            <w:pPr>
              <w:widowControl/>
              <w:snapToGrid w:val="0"/>
              <w:ind w:left="0" w:leftChars="0" w:right="0" w:rightChars="0" w:firstLine="0" w:firstLineChars="0"/>
              <w:jc w:val="right"/>
              <w:textAlignment w:val="center"/>
              <w:rPr>
                <w:rFonts w:ascii="宋体" w:hAnsi="宋体" w:eastAsia="宋体" w:cs="宋体"/>
                <w:color w:val="000000"/>
                <w:sz w:val="21"/>
                <w:szCs w:val="24"/>
              </w:rPr>
            </w:pPr>
          </w:p>
        </w:tc>
        <w:tc>
          <w:tcPr>
            <w:tcW w:w="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56197">
            <w:pPr>
              <w:snapToGrid w:val="0"/>
              <w:ind w:left="0" w:leftChars="0" w:right="0" w:rightChars="0" w:firstLine="0" w:firstLineChars="0"/>
              <w:jc w:val="center"/>
              <w:rPr>
                <w:rFonts w:ascii="宋体" w:hAnsi="宋体" w:eastAsia="宋体" w:cs="宋体"/>
                <w:color w:val="000000"/>
                <w:sz w:val="21"/>
                <w:szCs w:val="24"/>
              </w:rPr>
            </w:pPr>
          </w:p>
        </w:tc>
      </w:tr>
      <w:tr w14:paraId="3F6BE3AF">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8EF4E43">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7CF0E4">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四合一专用检测仪防爆式</w:t>
            </w:r>
          </w:p>
        </w:tc>
        <w:tc>
          <w:tcPr>
            <w:tcW w:w="76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110757">
            <w:pPr>
              <w:widowControl/>
              <w:snapToGrid w:val="0"/>
              <w:ind w:left="0" w:leftChars="0" w:right="0" w:rightChars="0" w:firstLine="0" w:firstLineChars="0"/>
              <w:jc w:val="left"/>
              <w:textAlignment w:val="center"/>
              <w:rPr>
                <w:rFonts w:ascii="宋体" w:hAnsi="宋体" w:eastAsia="宋体" w:cs="宋体"/>
                <w:color w:val="08090C"/>
                <w:sz w:val="21"/>
                <w:szCs w:val="21"/>
              </w:rPr>
            </w:pPr>
            <w:r>
              <w:rPr>
                <w:rStyle w:val="11"/>
                <w:rFonts w:hint="default" w:ascii="宋体" w:eastAsia="宋体"/>
                <w:sz w:val="21"/>
                <w:szCs w:val="21"/>
                <w:lang w:bidi="ar"/>
              </w:rPr>
              <w:t>本安防爆型四合一气体检测仪，同步监测CO、O</w:t>
            </w:r>
            <w:r>
              <w:rPr>
                <w:rStyle w:val="12"/>
                <w:rFonts w:ascii="宋体" w:eastAsia="宋体"/>
                <w:sz w:val="21"/>
                <w:szCs w:val="21"/>
                <w:lang w:bidi="ar"/>
              </w:rPr>
              <w:t>₂</w:t>
            </w:r>
            <w:r>
              <w:rPr>
                <w:rStyle w:val="11"/>
                <w:rFonts w:hint="default" w:ascii="宋体" w:eastAsia="宋体"/>
                <w:sz w:val="21"/>
                <w:szCs w:val="21"/>
                <w:lang w:bidi="ar"/>
              </w:rPr>
              <w:t>、H</w:t>
            </w:r>
            <w:r>
              <w:rPr>
                <w:rStyle w:val="12"/>
                <w:rFonts w:ascii="宋体" w:eastAsia="宋体"/>
                <w:sz w:val="21"/>
                <w:szCs w:val="21"/>
                <w:lang w:bidi="ar"/>
              </w:rPr>
              <w:t>₂</w:t>
            </w:r>
            <w:r>
              <w:rPr>
                <w:rStyle w:val="11"/>
                <w:rFonts w:hint="default" w:ascii="宋体" w:eastAsia="宋体"/>
                <w:sz w:val="21"/>
                <w:szCs w:val="21"/>
                <w:lang w:bidi="ar"/>
              </w:rPr>
              <w:t>S、可燃气体 LEL四大隧道核心指标，具备防爆认证、IP65 防尘防水、宽温适应隧道潮湿多尘工况；支持 RS485 数据输出，可对接研华 ECU 网关、工控机与 AI 算法服务器，气体超标声光振动多级报警，实时上传浓度数据，联动智能风机自动调风排烟，实现隧道通风安全闭环监测。</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CE402A">
            <w:pPr>
              <w:widowControl/>
              <w:snapToGrid w:val="0"/>
              <w:ind w:left="0" w:leftChars="0" w:right="0" w:rightChars="0" w:firstLine="0" w:firstLineChars="0"/>
              <w:jc w:val="center"/>
              <w:textAlignment w:val="center"/>
              <w:rPr>
                <w:rFonts w:hint="eastAsia" w:ascii="宋体" w:hAnsi="宋体" w:eastAsia="宋体" w:cs="宋体"/>
                <w:color w:val="08090C"/>
                <w:sz w:val="21"/>
                <w:szCs w:val="21"/>
                <w:lang w:eastAsia="zh-CN"/>
              </w:rPr>
            </w:pPr>
            <w:r>
              <w:rPr>
                <w:rFonts w:hint="eastAsia" w:ascii="宋体" w:hAnsi="宋体" w:eastAsia="宋体" w:cs="宋体"/>
                <w:color w:val="08090C"/>
                <w:kern w:val="0"/>
                <w:sz w:val="21"/>
                <w:szCs w:val="21"/>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5AB335">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台</w:t>
            </w:r>
          </w:p>
        </w:tc>
        <w:tc>
          <w:tcPr>
            <w:tcW w:w="0" w:type="auto"/>
            <w:vMerge w:val="continue"/>
            <w:tcBorders>
              <w:left w:val="single" w:color="000000" w:sz="4" w:space="0"/>
              <w:right w:val="single" w:color="000000" w:sz="4" w:space="0"/>
            </w:tcBorders>
            <w:shd w:val="clear" w:color="auto" w:fill="auto"/>
            <w:vAlign w:val="center"/>
          </w:tcPr>
          <w:p w14:paraId="1BD55EA8">
            <w:pPr>
              <w:widowControl/>
              <w:snapToGrid w:val="0"/>
              <w:ind w:left="0" w:leftChars="0" w:right="0" w:rightChars="0" w:firstLine="0" w:firstLineChars="0"/>
              <w:jc w:val="right"/>
              <w:textAlignment w:val="center"/>
              <w:rPr>
                <w:rFonts w:ascii="宋体" w:hAnsi="宋体" w:eastAsia="宋体" w:cs="宋体"/>
                <w:color w:val="08090C"/>
                <w:sz w:val="21"/>
                <w:szCs w:val="21"/>
              </w:rPr>
            </w:pPr>
          </w:p>
        </w:tc>
        <w:tc>
          <w:tcPr>
            <w:tcW w:w="0" w:type="auto"/>
            <w:vMerge w:val="continue"/>
            <w:tcBorders>
              <w:left w:val="single" w:color="000000" w:sz="4" w:space="0"/>
              <w:right w:val="single" w:color="000000" w:sz="4" w:space="0"/>
            </w:tcBorders>
            <w:shd w:val="clear" w:color="auto" w:fill="auto"/>
            <w:noWrap/>
            <w:vAlign w:val="center"/>
          </w:tcPr>
          <w:p w14:paraId="2D5433AA">
            <w:pPr>
              <w:widowControl/>
              <w:snapToGrid w:val="0"/>
              <w:ind w:left="0" w:leftChars="0" w:right="0" w:rightChars="0" w:firstLine="0" w:firstLineChars="0"/>
              <w:jc w:val="right"/>
              <w:textAlignment w:val="center"/>
              <w:rPr>
                <w:rFonts w:ascii="宋体" w:hAnsi="宋体" w:eastAsia="宋体" w:cs="宋体"/>
                <w:color w:val="000000"/>
                <w:sz w:val="21"/>
                <w:szCs w:val="24"/>
              </w:rPr>
            </w:pPr>
          </w:p>
        </w:tc>
        <w:tc>
          <w:tcPr>
            <w:tcW w:w="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2073EF">
            <w:pPr>
              <w:snapToGrid w:val="0"/>
              <w:ind w:left="0" w:leftChars="0" w:right="0" w:rightChars="0" w:firstLine="0" w:firstLineChars="0"/>
              <w:jc w:val="center"/>
              <w:rPr>
                <w:rFonts w:ascii="宋体" w:hAnsi="宋体" w:eastAsia="宋体" w:cs="宋体"/>
                <w:color w:val="000000"/>
                <w:sz w:val="21"/>
                <w:szCs w:val="24"/>
              </w:rPr>
            </w:pPr>
          </w:p>
        </w:tc>
      </w:tr>
      <w:tr w14:paraId="731A1CD9">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A73D224">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B01705">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专业路由器</w:t>
            </w:r>
          </w:p>
        </w:tc>
        <w:tc>
          <w:tcPr>
            <w:tcW w:w="76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04A17D">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工业级专业路由器，双链路冗余传输，支持有线 / 4G/5G 多网备份，具备 EMC 强抗干扰、宽温防尘工业防护，适配隧道复杂电磁环境。负责现场工控机、网关、气体检测仪与 AI 算法服务器的数据路由转发，保障风机监测、控制指令稳定低延迟传输，支持 VPN 加密、远程运维，实现整套通风系统不间 断联网通信。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11D5A0A">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4F97233">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台</w:t>
            </w:r>
          </w:p>
        </w:tc>
        <w:tc>
          <w:tcPr>
            <w:tcW w:w="0" w:type="auto"/>
            <w:vMerge w:val="continue"/>
            <w:tcBorders>
              <w:left w:val="single" w:color="000000" w:sz="4" w:space="0"/>
              <w:right w:val="single" w:color="000000" w:sz="4" w:space="0"/>
            </w:tcBorders>
            <w:shd w:val="clear" w:color="auto" w:fill="auto"/>
            <w:vAlign w:val="center"/>
          </w:tcPr>
          <w:p w14:paraId="32499F42">
            <w:pPr>
              <w:widowControl/>
              <w:snapToGrid w:val="0"/>
              <w:ind w:left="0" w:leftChars="0" w:right="0" w:rightChars="0" w:firstLine="0" w:firstLineChars="0"/>
              <w:jc w:val="right"/>
              <w:textAlignment w:val="center"/>
              <w:rPr>
                <w:rFonts w:ascii="宋体" w:hAnsi="宋体" w:eastAsia="宋体" w:cs="宋体"/>
                <w:color w:val="08090C"/>
                <w:sz w:val="21"/>
                <w:szCs w:val="21"/>
              </w:rPr>
            </w:pPr>
          </w:p>
        </w:tc>
        <w:tc>
          <w:tcPr>
            <w:tcW w:w="0" w:type="auto"/>
            <w:vMerge w:val="continue"/>
            <w:tcBorders>
              <w:left w:val="single" w:color="000000" w:sz="4" w:space="0"/>
              <w:right w:val="single" w:color="000000" w:sz="4" w:space="0"/>
            </w:tcBorders>
            <w:shd w:val="clear" w:color="auto" w:fill="auto"/>
            <w:noWrap/>
            <w:vAlign w:val="center"/>
          </w:tcPr>
          <w:p w14:paraId="0FC65B58">
            <w:pPr>
              <w:widowControl/>
              <w:snapToGrid w:val="0"/>
              <w:ind w:left="0" w:leftChars="0" w:right="0" w:rightChars="0" w:firstLine="0" w:firstLineChars="0"/>
              <w:jc w:val="right"/>
              <w:textAlignment w:val="center"/>
              <w:rPr>
                <w:rFonts w:ascii="宋体" w:hAnsi="宋体" w:eastAsia="宋体" w:cs="宋体"/>
                <w:color w:val="000000"/>
                <w:sz w:val="21"/>
                <w:szCs w:val="24"/>
              </w:rPr>
            </w:pPr>
          </w:p>
        </w:tc>
        <w:tc>
          <w:tcPr>
            <w:tcW w:w="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B1C576">
            <w:pPr>
              <w:snapToGrid w:val="0"/>
              <w:ind w:left="0" w:leftChars="0" w:right="0" w:rightChars="0" w:firstLine="0" w:firstLineChars="0"/>
              <w:jc w:val="center"/>
              <w:rPr>
                <w:rFonts w:ascii="宋体" w:hAnsi="宋体" w:eastAsia="宋体" w:cs="宋体"/>
                <w:color w:val="000000"/>
                <w:sz w:val="21"/>
                <w:szCs w:val="24"/>
              </w:rPr>
            </w:pPr>
          </w:p>
        </w:tc>
      </w:tr>
      <w:tr w14:paraId="0133414A">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6E20BF">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1B481C">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PLC控制器</w:t>
            </w:r>
          </w:p>
        </w:tc>
        <w:tc>
          <w:tcPr>
            <w:tcW w:w="76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3C36F">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规格型号为西门子200SMART SR20，作用是设备主控、逻辑控制。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2349055">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732F47">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台</w:t>
            </w:r>
          </w:p>
        </w:tc>
        <w:tc>
          <w:tcPr>
            <w:tcW w:w="0" w:type="auto"/>
            <w:vMerge w:val="continue"/>
            <w:tcBorders>
              <w:left w:val="single" w:color="000000" w:sz="4" w:space="0"/>
              <w:right w:val="single" w:color="000000" w:sz="4" w:space="0"/>
            </w:tcBorders>
            <w:shd w:val="clear" w:color="auto" w:fill="auto"/>
            <w:vAlign w:val="center"/>
          </w:tcPr>
          <w:p w14:paraId="73380D20">
            <w:pPr>
              <w:widowControl/>
              <w:snapToGrid w:val="0"/>
              <w:ind w:left="0" w:leftChars="0" w:right="0" w:rightChars="0" w:firstLine="0" w:firstLineChars="0"/>
              <w:jc w:val="right"/>
              <w:textAlignment w:val="center"/>
              <w:rPr>
                <w:rFonts w:ascii="宋体" w:hAnsi="宋体" w:eastAsia="宋体" w:cs="宋体"/>
                <w:color w:val="08090C"/>
                <w:sz w:val="21"/>
                <w:szCs w:val="21"/>
              </w:rPr>
            </w:pPr>
          </w:p>
        </w:tc>
        <w:tc>
          <w:tcPr>
            <w:tcW w:w="0" w:type="auto"/>
            <w:vMerge w:val="continue"/>
            <w:tcBorders>
              <w:left w:val="single" w:color="000000" w:sz="4" w:space="0"/>
              <w:right w:val="single" w:color="000000" w:sz="4" w:space="0"/>
            </w:tcBorders>
            <w:shd w:val="clear" w:color="auto" w:fill="auto"/>
            <w:noWrap/>
            <w:vAlign w:val="center"/>
          </w:tcPr>
          <w:p w14:paraId="6DD76E19">
            <w:pPr>
              <w:widowControl/>
              <w:snapToGrid w:val="0"/>
              <w:ind w:left="0" w:leftChars="0" w:right="0" w:rightChars="0" w:firstLine="0" w:firstLineChars="0"/>
              <w:jc w:val="right"/>
              <w:textAlignment w:val="center"/>
              <w:rPr>
                <w:rFonts w:ascii="宋体" w:hAnsi="宋体" w:eastAsia="宋体" w:cs="宋体"/>
                <w:color w:val="000000"/>
                <w:sz w:val="21"/>
                <w:szCs w:val="24"/>
              </w:rPr>
            </w:pPr>
          </w:p>
        </w:tc>
        <w:tc>
          <w:tcPr>
            <w:tcW w:w="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D44F7">
            <w:pPr>
              <w:snapToGrid w:val="0"/>
              <w:ind w:left="0" w:leftChars="0" w:right="0" w:rightChars="0" w:firstLine="0" w:firstLineChars="0"/>
              <w:jc w:val="center"/>
              <w:rPr>
                <w:rFonts w:ascii="宋体" w:hAnsi="宋体" w:eastAsia="宋体" w:cs="宋体"/>
                <w:color w:val="000000"/>
                <w:sz w:val="21"/>
                <w:szCs w:val="24"/>
              </w:rPr>
            </w:pPr>
          </w:p>
        </w:tc>
      </w:tr>
      <w:tr w14:paraId="3261AD6D">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9E9501">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E9A705">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通讯信号板</w:t>
            </w:r>
          </w:p>
        </w:tc>
        <w:tc>
          <w:tcPr>
            <w:tcW w:w="76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C87A62">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规格型号为西门子 CM01 RS485，实现远程Modbus通讯。</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B16495">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7C6B27F">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台</w:t>
            </w:r>
          </w:p>
        </w:tc>
        <w:tc>
          <w:tcPr>
            <w:tcW w:w="0" w:type="auto"/>
            <w:vMerge w:val="continue"/>
            <w:tcBorders>
              <w:left w:val="single" w:color="000000" w:sz="4" w:space="0"/>
              <w:right w:val="single" w:color="000000" w:sz="4" w:space="0"/>
            </w:tcBorders>
            <w:shd w:val="clear" w:color="auto" w:fill="auto"/>
            <w:vAlign w:val="center"/>
          </w:tcPr>
          <w:p w14:paraId="2A1A632C">
            <w:pPr>
              <w:widowControl/>
              <w:snapToGrid w:val="0"/>
              <w:ind w:left="0" w:leftChars="0" w:right="0" w:rightChars="0" w:firstLine="0" w:firstLineChars="0"/>
              <w:jc w:val="right"/>
              <w:textAlignment w:val="center"/>
              <w:rPr>
                <w:rFonts w:ascii="宋体" w:hAnsi="宋体" w:eastAsia="宋体" w:cs="宋体"/>
                <w:color w:val="08090C"/>
                <w:sz w:val="21"/>
                <w:szCs w:val="21"/>
              </w:rPr>
            </w:pPr>
          </w:p>
        </w:tc>
        <w:tc>
          <w:tcPr>
            <w:tcW w:w="0" w:type="auto"/>
            <w:vMerge w:val="continue"/>
            <w:tcBorders>
              <w:left w:val="single" w:color="000000" w:sz="4" w:space="0"/>
              <w:right w:val="single" w:color="000000" w:sz="4" w:space="0"/>
            </w:tcBorders>
            <w:shd w:val="clear" w:color="auto" w:fill="auto"/>
            <w:noWrap/>
            <w:vAlign w:val="center"/>
          </w:tcPr>
          <w:p w14:paraId="592D28B8">
            <w:pPr>
              <w:widowControl/>
              <w:snapToGrid w:val="0"/>
              <w:ind w:left="0" w:leftChars="0" w:right="0" w:rightChars="0" w:firstLine="0" w:firstLineChars="0"/>
              <w:jc w:val="right"/>
              <w:textAlignment w:val="center"/>
              <w:rPr>
                <w:rFonts w:ascii="宋体" w:hAnsi="宋体" w:eastAsia="宋体" w:cs="宋体"/>
                <w:color w:val="000000"/>
                <w:sz w:val="21"/>
                <w:szCs w:val="24"/>
              </w:rPr>
            </w:pPr>
          </w:p>
        </w:tc>
        <w:tc>
          <w:tcPr>
            <w:tcW w:w="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886A3">
            <w:pPr>
              <w:snapToGrid w:val="0"/>
              <w:ind w:left="0" w:leftChars="0" w:right="0" w:rightChars="0" w:firstLine="0" w:firstLineChars="0"/>
              <w:jc w:val="center"/>
              <w:rPr>
                <w:rFonts w:ascii="宋体" w:hAnsi="宋体" w:eastAsia="宋体" w:cs="宋体"/>
                <w:color w:val="000000"/>
                <w:sz w:val="21"/>
                <w:szCs w:val="24"/>
              </w:rPr>
            </w:pPr>
          </w:p>
        </w:tc>
      </w:tr>
      <w:tr w14:paraId="0B83C7B9">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7D0F76">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08C085">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全套电气辅材</w:t>
            </w:r>
          </w:p>
        </w:tc>
        <w:tc>
          <w:tcPr>
            <w:tcW w:w="76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32CB8F">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规格型号为继电器、电线、端子、安装耗材等，满足整套改造安装需求。</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AD783C">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3FB8B92">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套</w:t>
            </w:r>
          </w:p>
        </w:tc>
        <w:tc>
          <w:tcPr>
            <w:tcW w:w="0" w:type="auto"/>
            <w:vMerge w:val="continue"/>
            <w:tcBorders>
              <w:left w:val="single" w:color="000000" w:sz="4" w:space="0"/>
              <w:bottom w:val="single" w:color="000000" w:sz="4" w:space="0"/>
              <w:right w:val="single" w:color="000000" w:sz="4" w:space="0"/>
            </w:tcBorders>
            <w:shd w:val="clear" w:color="auto" w:fill="auto"/>
            <w:vAlign w:val="center"/>
          </w:tcPr>
          <w:p w14:paraId="6E5B1BA5">
            <w:pPr>
              <w:widowControl/>
              <w:snapToGrid w:val="0"/>
              <w:ind w:left="0" w:leftChars="0" w:right="0" w:rightChars="0" w:firstLine="0" w:firstLineChars="0"/>
              <w:jc w:val="right"/>
              <w:textAlignment w:val="center"/>
              <w:rPr>
                <w:rFonts w:ascii="宋体" w:hAnsi="宋体" w:eastAsia="宋体" w:cs="宋体"/>
                <w:color w:val="08090C"/>
                <w:sz w:val="21"/>
                <w:szCs w:val="21"/>
              </w:rPr>
            </w:pPr>
          </w:p>
        </w:tc>
        <w:tc>
          <w:tcPr>
            <w:tcW w:w="0" w:type="auto"/>
            <w:vMerge w:val="continue"/>
            <w:tcBorders>
              <w:left w:val="single" w:color="000000" w:sz="4" w:space="0"/>
              <w:bottom w:val="single" w:color="000000" w:sz="4" w:space="0"/>
              <w:right w:val="single" w:color="000000" w:sz="4" w:space="0"/>
            </w:tcBorders>
            <w:shd w:val="clear" w:color="auto" w:fill="auto"/>
            <w:noWrap/>
            <w:vAlign w:val="center"/>
          </w:tcPr>
          <w:p w14:paraId="1C103BFC">
            <w:pPr>
              <w:widowControl/>
              <w:snapToGrid w:val="0"/>
              <w:ind w:left="0" w:leftChars="0" w:right="0" w:rightChars="0" w:firstLine="0" w:firstLineChars="0"/>
              <w:jc w:val="right"/>
              <w:textAlignment w:val="center"/>
              <w:rPr>
                <w:rFonts w:ascii="宋体" w:hAnsi="宋体" w:eastAsia="宋体" w:cs="宋体"/>
                <w:color w:val="000000"/>
                <w:sz w:val="21"/>
                <w:szCs w:val="24"/>
              </w:rPr>
            </w:pPr>
          </w:p>
        </w:tc>
        <w:tc>
          <w:tcPr>
            <w:tcW w:w="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27D17">
            <w:pPr>
              <w:snapToGrid w:val="0"/>
              <w:ind w:left="0" w:leftChars="0" w:right="0" w:rightChars="0" w:firstLine="0" w:firstLineChars="0"/>
              <w:jc w:val="center"/>
              <w:rPr>
                <w:rFonts w:ascii="宋体" w:hAnsi="宋体" w:eastAsia="宋体" w:cs="宋体"/>
                <w:color w:val="000000"/>
                <w:sz w:val="21"/>
                <w:szCs w:val="24"/>
              </w:rPr>
            </w:pPr>
          </w:p>
        </w:tc>
      </w:tr>
      <w:tr w14:paraId="206D3193">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EE547C">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12</w:t>
            </w:r>
          </w:p>
        </w:tc>
        <w:tc>
          <w:tcPr>
            <w:tcW w:w="7636"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2B14F136">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税金（1%）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DC740">
            <w:pPr>
              <w:widowControl/>
              <w:snapToGrid w:val="0"/>
              <w:ind w:left="0" w:leftChars="0" w:right="0" w:rightChars="0" w:firstLine="0" w:firstLineChars="0"/>
              <w:jc w:val="left"/>
              <w:textAlignment w:val="center"/>
              <w:rPr>
                <w:rFonts w:ascii="宋体" w:hAnsi="宋体" w:eastAsia="宋体" w:cs="宋体"/>
                <w:color w:val="000000"/>
                <w:sz w:val="21"/>
                <w:szCs w:val="24"/>
              </w:rPr>
            </w:pPr>
            <w:r>
              <w:rPr>
                <w:rFonts w:hint="eastAsia" w:ascii="宋体" w:hAnsi="宋体" w:eastAsia="宋体" w:cs="宋体"/>
                <w:color w:val="000000"/>
                <w:sz w:val="21"/>
                <w:szCs w:val="24"/>
              </w:rPr>
              <w:t>495.05</w:t>
            </w:r>
          </w:p>
        </w:tc>
        <w:tc>
          <w:tcPr>
            <w:tcW w:w="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4EAE2">
            <w:pPr>
              <w:snapToGrid w:val="0"/>
              <w:ind w:left="0" w:leftChars="0" w:right="0" w:rightChars="0" w:firstLine="0" w:firstLineChars="0"/>
              <w:jc w:val="center"/>
              <w:rPr>
                <w:rFonts w:ascii="宋体" w:hAnsi="宋体" w:eastAsia="宋体" w:cs="宋体"/>
                <w:color w:val="000000"/>
                <w:sz w:val="21"/>
                <w:szCs w:val="24"/>
              </w:rPr>
            </w:pPr>
          </w:p>
        </w:tc>
      </w:tr>
      <w:tr w14:paraId="0CA62240">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5E2DB1">
            <w:pPr>
              <w:widowControl/>
              <w:snapToGrid w:val="0"/>
              <w:ind w:left="0" w:leftChars="0" w:right="0" w:rightChars="0" w:firstLine="0" w:firstLineChars="0"/>
              <w:jc w:val="center"/>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13</w:t>
            </w:r>
          </w:p>
        </w:tc>
        <w:tc>
          <w:tcPr>
            <w:tcW w:w="7636"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36F17FC0">
            <w:pPr>
              <w:widowControl/>
              <w:snapToGrid w:val="0"/>
              <w:ind w:left="0" w:leftChars="0" w:right="0" w:rightChars="0" w:firstLine="0" w:firstLineChars="0"/>
              <w:jc w:val="left"/>
              <w:textAlignment w:val="center"/>
              <w:rPr>
                <w:rFonts w:ascii="宋体" w:hAnsi="宋体" w:eastAsia="宋体" w:cs="宋体"/>
                <w:color w:val="08090C"/>
                <w:sz w:val="21"/>
                <w:szCs w:val="21"/>
              </w:rPr>
            </w:pPr>
            <w:r>
              <w:rPr>
                <w:rFonts w:hint="eastAsia" w:ascii="宋体" w:hAnsi="宋体" w:eastAsia="宋体" w:cs="宋体"/>
                <w:color w:val="08090C"/>
                <w:kern w:val="0"/>
                <w:sz w:val="21"/>
                <w:szCs w:val="21"/>
                <w:lang w:bidi="ar"/>
              </w:rPr>
              <w:t>不含税金额</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4B8192">
            <w:pPr>
              <w:widowControl/>
              <w:snapToGrid w:val="0"/>
              <w:ind w:left="0" w:leftChars="0" w:right="0" w:rightChars="0" w:firstLine="0" w:firstLineChars="0"/>
              <w:jc w:val="left"/>
              <w:textAlignment w:val="center"/>
              <w:rPr>
                <w:rFonts w:ascii="宋体" w:hAnsi="宋体" w:eastAsia="宋体" w:cs="宋体"/>
                <w:color w:val="000000"/>
                <w:sz w:val="21"/>
                <w:szCs w:val="24"/>
              </w:rPr>
            </w:pPr>
            <w:r>
              <w:rPr>
                <w:rFonts w:hint="eastAsia" w:ascii="宋体" w:hAnsi="宋体" w:eastAsia="宋体" w:cs="宋体"/>
                <w:color w:val="000000"/>
                <w:sz w:val="21"/>
                <w:szCs w:val="24"/>
              </w:rPr>
              <w:t>49504.95</w:t>
            </w:r>
          </w:p>
        </w:tc>
        <w:tc>
          <w:tcPr>
            <w:tcW w:w="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CDBFE9">
            <w:pPr>
              <w:snapToGrid w:val="0"/>
              <w:ind w:left="0" w:leftChars="0" w:right="0" w:rightChars="0" w:firstLine="0" w:firstLineChars="0"/>
              <w:jc w:val="center"/>
              <w:rPr>
                <w:rFonts w:ascii="宋体" w:hAnsi="宋体" w:eastAsia="宋体" w:cs="宋体"/>
                <w:color w:val="000000"/>
                <w:sz w:val="21"/>
                <w:szCs w:val="24"/>
              </w:rPr>
            </w:pPr>
          </w:p>
        </w:tc>
      </w:tr>
      <w:tr w14:paraId="4BF69921">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7540D6">
            <w:pPr>
              <w:widowControl/>
              <w:snapToGrid w:val="0"/>
              <w:ind w:left="0" w:leftChars="0" w:right="0" w:rightChars="0" w:firstLine="0" w:firstLineChars="0"/>
              <w:jc w:val="center"/>
              <w:textAlignment w:val="center"/>
              <w:rPr>
                <w:rFonts w:ascii="宋体" w:hAnsi="宋体" w:eastAsia="宋体" w:cs="宋体"/>
                <w:b/>
                <w:color w:val="08090C"/>
                <w:sz w:val="21"/>
                <w:szCs w:val="21"/>
              </w:rPr>
            </w:pPr>
            <w:r>
              <w:rPr>
                <w:rFonts w:hint="eastAsia" w:ascii="宋体" w:hAnsi="宋体" w:eastAsia="宋体" w:cs="宋体"/>
                <w:b/>
                <w:color w:val="08090C"/>
                <w:kern w:val="0"/>
                <w:sz w:val="21"/>
                <w:szCs w:val="21"/>
                <w:lang w:bidi="ar"/>
              </w:rPr>
              <w:t>14</w:t>
            </w:r>
          </w:p>
        </w:tc>
        <w:tc>
          <w:tcPr>
            <w:tcW w:w="7636"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088C2B73">
            <w:pPr>
              <w:widowControl/>
              <w:snapToGrid w:val="0"/>
              <w:ind w:left="0" w:leftChars="0" w:right="0" w:rightChars="0" w:firstLine="0" w:firstLineChars="0"/>
              <w:jc w:val="left"/>
              <w:textAlignment w:val="center"/>
              <w:rPr>
                <w:rFonts w:ascii="宋体" w:hAnsi="宋体" w:eastAsia="宋体" w:cs="宋体"/>
                <w:b/>
                <w:color w:val="08090C"/>
                <w:sz w:val="21"/>
                <w:szCs w:val="21"/>
              </w:rPr>
            </w:pPr>
            <w:r>
              <w:rPr>
                <w:rFonts w:hint="eastAsia" w:ascii="宋体" w:hAnsi="宋体" w:eastAsia="宋体" w:cs="宋体"/>
                <w:b/>
                <w:color w:val="08090C"/>
                <w:kern w:val="0"/>
                <w:sz w:val="21"/>
                <w:szCs w:val="21"/>
                <w:lang w:bidi="ar"/>
              </w:rPr>
              <w:t>含税金额合计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C28147">
            <w:pPr>
              <w:widowControl/>
              <w:snapToGrid w:val="0"/>
              <w:ind w:left="0" w:leftChars="0" w:right="0" w:rightChars="0" w:firstLine="0" w:firstLineChars="0"/>
              <w:jc w:val="left"/>
              <w:textAlignment w:val="center"/>
              <w:rPr>
                <w:rFonts w:hint="default" w:ascii="宋体" w:hAnsi="宋体" w:eastAsia="宋体" w:cs="宋体"/>
                <w:b/>
                <w:color w:val="08090C"/>
                <w:sz w:val="21"/>
                <w:szCs w:val="21"/>
                <w:lang w:val="en-US" w:eastAsia="zh-CN"/>
              </w:rPr>
            </w:pPr>
            <w:r>
              <w:rPr>
                <w:rFonts w:hint="eastAsia" w:ascii="宋体" w:hAnsi="宋体" w:eastAsia="宋体" w:cs="宋体"/>
                <w:b/>
                <w:color w:val="08090C"/>
                <w:sz w:val="21"/>
                <w:szCs w:val="21"/>
                <w:lang w:val="en-US" w:eastAsia="zh-CN"/>
              </w:rPr>
              <w:t>50000.00</w:t>
            </w:r>
          </w:p>
        </w:tc>
        <w:tc>
          <w:tcPr>
            <w:tcW w:w="9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F9955">
            <w:pPr>
              <w:snapToGrid w:val="0"/>
              <w:ind w:left="0" w:leftChars="0" w:right="0" w:rightChars="0" w:firstLine="0" w:firstLineChars="0"/>
              <w:jc w:val="center"/>
              <w:rPr>
                <w:rFonts w:ascii="宋体" w:hAnsi="宋体" w:eastAsia="宋体" w:cs="宋体"/>
                <w:b/>
                <w:color w:val="000000"/>
                <w:sz w:val="21"/>
                <w:szCs w:val="24"/>
              </w:rPr>
            </w:pPr>
          </w:p>
        </w:tc>
      </w:tr>
      <w:tr w14:paraId="6C024B51">
        <w:tblPrEx>
          <w:tblCellMar>
            <w:top w:w="0" w:type="dxa"/>
            <w:left w:w="108" w:type="dxa"/>
            <w:bottom w:w="0" w:type="dxa"/>
            <w:right w:w="108" w:type="dxa"/>
          </w:tblCellMar>
        </w:tblPrEx>
        <w:trPr>
          <w:trHeight w:val="0" w:hRule="atLeast"/>
          <w:jc w:val="center"/>
        </w:trPr>
        <w:tc>
          <w:tcPr>
            <w:tcW w:w="910"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51B0DD1D">
            <w:pPr>
              <w:snapToGrid w:val="0"/>
              <w:ind w:left="0" w:leftChars="0" w:right="0" w:rightChars="0" w:firstLine="0" w:firstLineChars="0"/>
              <w:jc w:val="center"/>
              <w:rPr>
                <w:rFonts w:ascii="宋体" w:hAnsi="宋体" w:eastAsia="宋体" w:cs="宋体"/>
                <w:color w:val="000000"/>
                <w:sz w:val="24"/>
                <w:szCs w:val="24"/>
              </w:rPr>
            </w:pPr>
            <w:r>
              <w:rPr>
                <w:rStyle w:val="11"/>
                <w:rFonts w:hint="default"/>
                <w:sz w:val="21"/>
                <w:szCs w:val="21"/>
                <w:lang w:bidi="ar"/>
              </w:rPr>
              <w:t>年度续费费用：</w:t>
            </w:r>
            <w:r>
              <w:rPr>
                <w:rStyle w:val="11"/>
                <w:sz w:val="21"/>
                <w:szCs w:val="21"/>
                <w:lang w:bidi="ar"/>
              </w:rPr>
              <w:t>29000</w:t>
            </w:r>
            <w:r>
              <w:rPr>
                <w:rStyle w:val="11"/>
                <w:rFonts w:hint="default"/>
                <w:sz w:val="21"/>
                <w:szCs w:val="21"/>
                <w:lang w:bidi="ar"/>
              </w:rPr>
              <w:t>元/年。续费期内免费提供系统升级与运维服务，可结合现场工况对智能体开展算法定制调试；除人员实施服务费（</w:t>
            </w:r>
            <w:r>
              <w:rPr>
                <w:rStyle w:val="11"/>
                <w:sz w:val="21"/>
                <w:szCs w:val="21"/>
                <w:lang w:bidi="ar"/>
              </w:rPr>
              <w:t>1500</w:t>
            </w:r>
            <w:r>
              <w:rPr>
                <w:rStyle w:val="11"/>
                <w:rFonts w:hint="default"/>
                <w:sz w:val="21"/>
                <w:szCs w:val="21"/>
                <w:lang w:bidi="ar"/>
              </w:rPr>
              <w:t>元/人</w:t>
            </w:r>
            <w:r>
              <w:rPr>
                <w:rFonts w:ascii="MS Gothic" w:hAnsi="MS Gothic" w:eastAsia="MS Gothic" w:cs="MS Gothic"/>
                <w:color w:val="08090C"/>
                <w:kern w:val="0"/>
                <w:sz w:val="21"/>
                <w:szCs w:val="21"/>
                <w:lang w:bidi="ar"/>
              </w:rPr>
              <w:t>・</w:t>
            </w:r>
            <w:r>
              <w:rPr>
                <w:rStyle w:val="11"/>
                <w:rFonts w:hint="default"/>
                <w:sz w:val="21"/>
                <w:szCs w:val="21"/>
                <w:lang w:bidi="ar"/>
              </w:rPr>
              <w:t>天）据实收取外。</w:t>
            </w:r>
          </w:p>
        </w:tc>
      </w:tr>
    </w:tbl>
    <w:p w14:paraId="7A777486">
      <w:pPr>
        <w:jc w:val="center"/>
        <w:rPr>
          <w:rFonts w:ascii="方正小标宋简体" w:hAnsi="方正小标宋简体" w:eastAsia="方正小标宋简体" w:cs="方正小标宋简体"/>
          <w:sz w:val="28"/>
          <w:szCs w:val="28"/>
        </w:rPr>
      </w:pPr>
    </w:p>
    <w:sectPr>
      <w:pgSz w:w="16838" w:h="11906" w:orient="landscape"/>
      <w:pgMar w:top="1797" w:right="1440" w:bottom="1797" w:left="144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B79470B-1BF5-4662-A087-8B2D11D1B2F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B23DF852-D326-42C6-A50C-695A7BB674F2}"/>
  </w:font>
  <w:font w:name="华文中宋">
    <w:panose1 w:val="02010600040101010101"/>
    <w:charset w:val="86"/>
    <w:family w:val="auto"/>
    <w:pitch w:val="default"/>
    <w:sig w:usb0="00000287" w:usb1="080F0000" w:usb2="00000000" w:usb3="00000000" w:csb0="0004009F" w:csb1="DFD70000"/>
    <w:embedRegular r:id="rId3" w:fontKey="{23C44C16-730D-482B-BFD3-F16166976AEA}"/>
  </w:font>
  <w:font w:name="仿宋_GB2312">
    <w:altName w:val="仿宋"/>
    <w:panose1 w:val="00000000000000000000"/>
    <w:charset w:val="86"/>
    <w:family w:val="modern"/>
    <w:pitch w:val="default"/>
    <w:sig w:usb0="00000000" w:usb1="00000000" w:usb2="00000000" w:usb3="00000000" w:csb0="00040000" w:csb1="00000000"/>
    <w:embedRegular r:id="rId4" w:fontKey="{A6C04DF7-0856-4D0F-ABAF-50834B251C79}"/>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embedRegular r:id="rId5" w:fontKey="{AF729F04-8357-4E70-B9DD-5E438FFB6F89}"/>
  </w:font>
  <w:font w:name="MS Gothic">
    <w:panose1 w:val="020B0609070205080204"/>
    <w:charset w:val="80"/>
    <w:family w:val="modern"/>
    <w:pitch w:val="default"/>
    <w:sig w:usb0="E00002FF" w:usb1="6AC7FDFB" w:usb2="08000012" w:usb3="00000000" w:csb0="4002009F" w:csb1="DFD70000"/>
    <w:embedRegular r:id="rId6" w:fontKey="{E73C81DB-FC77-4A1F-8117-36FD7D04A473}"/>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TrueTypeFonts/>
  <w:saveSubset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77388C"/>
    <w:rsid w:val="00393B90"/>
    <w:rsid w:val="00843508"/>
    <w:rsid w:val="008616CA"/>
    <w:rsid w:val="009912D1"/>
    <w:rsid w:val="009C7DF6"/>
    <w:rsid w:val="00A21B83"/>
    <w:rsid w:val="00D07894"/>
    <w:rsid w:val="00E33E70"/>
    <w:rsid w:val="020236B3"/>
    <w:rsid w:val="020400FE"/>
    <w:rsid w:val="03F847BE"/>
    <w:rsid w:val="050A27FB"/>
    <w:rsid w:val="05D45367"/>
    <w:rsid w:val="08C96CD9"/>
    <w:rsid w:val="0AB319EF"/>
    <w:rsid w:val="0B3B6C92"/>
    <w:rsid w:val="0FE71452"/>
    <w:rsid w:val="0FF860F6"/>
    <w:rsid w:val="10E24DDC"/>
    <w:rsid w:val="10EF74F9"/>
    <w:rsid w:val="11A402E3"/>
    <w:rsid w:val="136B5B70"/>
    <w:rsid w:val="1465708A"/>
    <w:rsid w:val="15331219"/>
    <w:rsid w:val="15ED55CB"/>
    <w:rsid w:val="1675224E"/>
    <w:rsid w:val="16E54F9E"/>
    <w:rsid w:val="17034A12"/>
    <w:rsid w:val="17EF2974"/>
    <w:rsid w:val="1977388C"/>
    <w:rsid w:val="1B4D3BD8"/>
    <w:rsid w:val="20B47E17"/>
    <w:rsid w:val="213F3B84"/>
    <w:rsid w:val="224D1F4E"/>
    <w:rsid w:val="22AB3F5A"/>
    <w:rsid w:val="23AD1279"/>
    <w:rsid w:val="25E5608D"/>
    <w:rsid w:val="26B7233D"/>
    <w:rsid w:val="27640311"/>
    <w:rsid w:val="2B6A5CA2"/>
    <w:rsid w:val="2E4722CA"/>
    <w:rsid w:val="2FC33BD3"/>
    <w:rsid w:val="325E612F"/>
    <w:rsid w:val="337C3265"/>
    <w:rsid w:val="36C24BE4"/>
    <w:rsid w:val="376B1BC6"/>
    <w:rsid w:val="376C2F79"/>
    <w:rsid w:val="37AFBDB8"/>
    <w:rsid w:val="38E85FAD"/>
    <w:rsid w:val="3B7F0AC1"/>
    <w:rsid w:val="3BC64E1D"/>
    <w:rsid w:val="3BE63123"/>
    <w:rsid w:val="3F081602"/>
    <w:rsid w:val="405669A2"/>
    <w:rsid w:val="411029F0"/>
    <w:rsid w:val="419E375A"/>
    <w:rsid w:val="41B82F76"/>
    <w:rsid w:val="422A4836"/>
    <w:rsid w:val="42E01375"/>
    <w:rsid w:val="44012FC6"/>
    <w:rsid w:val="48651873"/>
    <w:rsid w:val="497955D6"/>
    <w:rsid w:val="4C3A1C7E"/>
    <w:rsid w:val="4C7F210E"/>
    <w:rsid w:val="4E055CCA"/>
    <w:rsid w:val="50B9114B"/>
    <w:rsid w:val="53642E53"/>
    <w:rsid w:val="541128AF"/>
    <w:rsid w:val="558B30E5"/>
    <w:rsid w:val="55D01F1B"/>
    <w:rsid w:val="55D10548"/>
    <w:rsid w:val="56376BDA"/>
    <w:rsid w:val="58692CBA"/>
    <w:rsid w:val="58D256B3"/>
    <w:rsid w:val="59A41FA0"/>
    <w:rsid w:val="5C3E1CEE"/>
    <w:rsid w:val="5C49708A"/>
    <w:rsid w:val="5C7929C3"/>
    <w:rsid w:val="5D63417B"/>
    <w:rsid w:val="5DCF1811"/>
    <w:rsid w:val="5F3D09FC"/>
    <w:rsid w:val="5FF13CC0"/>
    <w:rsid w:val="619F4293"/>
    <w:rsid w:val="61E56919"/>
    <w:rsid w:val="61F950AE"/>
    <w:rsid w:val="62FA10DE"/>
    <w:rsid w:val="657A6506"/>
    <w:rsid w:val="679348FA"/>
    <w:rsid w:val="69487A49"/>
    <w:rsid w:val="6BFF0FDA"/>
    <w:rsid w:val="6D604233"/>
    <w:rsid w:val="6E7D35D3"/>
    <w:rsid w:val="6E9F079C"/>
    <w:rsid w:val="70C96BE3"/>
    <w:rsid w:val="70F1304D"/>
    <w:rsid w:val="72800ED4"/>
    <w:rsid w:val="72DC430D"/>
    <w:rsid w:val="737C2439"/>
    <w:rsid w:val="74337EFD"/>
    <w:rsid w:val="744C5512"/>
    <w:rsid w:val="79263A58"/>
    <w:rsid w:val="7A40469E"/>
    <w:rsid w:val="7BF93DE1"/>
    <w:rsid w:val="7C996197"/>
    <w:rsid w:val="7D9D7924"/>
    <w:rsid w:val="7F0709B3"/>
    <w:rsid w:val="7F8C30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table" w:styleId="4">
    <w:name w:val="Table Gri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6">
    <w:name w:val="HTML Code"/>
    <w:basedOn w:val="5"/>
    <w:uiPriority w:val="0"/>
    <w:rPr>
      <w:rFonts w:ascii="Courier New" w:hAnsi="Courier New"/>
      <w:sz w:val="20"/>
    </w:rPr>
  </w:style>
  <w:style w:type="character" w:customStyle="1" w:styleId="7">
    <w:name w:val="font51"/>
    <w:basedOn w:val="5"/>
    <w:qFormat/>
    <w:uiPriority w:val="0"/>
    <w:rPr>
      <w:rFonts w:hint="eastAsia" w:ascii="方正小标宋简体" w:hAnsi="方正小标宋简体" w:eastAsia="方正小标宋简体" w:cs="方正小标宋简体"/>
      <w:color w:val="000000"/>
      <w:sz w:val="16"/>
      <w:szCs w:val="16"/>
      <w:u w:val="none"/>
    </w:rPr>
  </w:style>
  <w:style w:type="character" w:customStyle="1" w:styleId="8">
    <w:name w:val="font41"/>
    <w:basedOn w:val="5"/>
    <w:qFormat/>
    <w:uiPriority w:val="0"/>
    <w:rPr>
      <w:rFonts w:hint="eastAsia" w:ascii="宋体" w:hAnsi="宋体" w:eastAsia="宋体" w:cs="宋体"/>
      <w:color w:val="000000"/>
      <w:sz w:val="16"/>
      <w:szCs w:val="16"/>
      <w:u w:val="none"/>
    </w:rPr>
  </w:style>
  <w:style w:type="character" w:customStyle="1" w:styleId="9">
    <w:name w:val="font71"/>
    <w:basedOn w:val="5"/>
    <w:qFormat/>
    <w:uiPriority w:val="0"/>
    <w:rPr>
      <w:rFonts w:hint="eastAsia" w:ascii="方正小标宋简体" w:hAnsi="方正小标宋简体" w:eastAsia="方正小标宋简体" w:cs="方正小标宋简体"/>
      <w:color w:val="000000"/>
      <w:sz w:val="16"/>
      <w:szCs w:val="16"/>
      <w:u w:val="none"/>
    </w:rPr>
  </w:style>
  <w:style w:type="character" w:customStyle="1" w:styleId="10">
    <w:name w:val="font81"/>
    <w:basedOn w:val="5"/>
    <w:qFormat/>
    <w:uiPriority w:val="0"/>
    <w:rPr>
      <w:rFonts w:hint="eastAsia" w:ascii="宋体" w:hAnsi="宋体" w:eastAsia="宋体" w:cs="宋体"/>
      <w:color w:val="000000"/>
      <w:sz w:val="16"/>
      <w:szCs w:val="16"/>
      <w:u w:val="none"/>
    </w:rPr>
  </w:style>
  <w:style w:type="character" w:customStyle="1" w:styleId="11">
    <w:name w:val="font21"/>
    <w:basedOn w:val="5"/>
    <w:uiPriority w:val="0"/>
    <w:rPr>
      <w:rFonts w:hint="eastAsia" w:ascii="宋体" w:hAnsi="宋体" w:eastAsia="宋体" w:cs="宋体"/>
      <w:color w:val="08090C"/>
      <w:sz w:val="20"/>
      <w:szCs w:val="20"/>
      <w:u w:val="none"/>
    </w:rPr>
  </w:style>
  <w:style w:type="character" w:customStyle="1" w:styleId="12">
    <w:name w:val="font31"/>
    <w:basedOn w:val="5"/>
    <w:qFormat/>
    <w:uiPriority w:val="0"/>
    <w:rPr>
      <w:rFonts w:hint="default" w:ascii="Times New Roman" w:hAnsi="Times New Roman" w:cs="Times New Roman"/>
      <w:color w:val="08090C"/>
      <w:sz w:val="20"/>
      <w:szCs w:val="20"/>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2129</Words>
  <Characters>2278</Characters>
  <Lines>28</Lines>
  <Paragraphs>8</Paragraphs>
  <TotalTime>7</TotalTime>
  <ScaleCrop>false</ScaleCrop>
  <LinksUpToDate>false</LinksUpToDate>
  <CharactersWithSpaces>2409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2026-07-07T03:20:00Z</dcterms:created>
  <dc:creator>Poison</dc:creator>
  <cp:lastModifiedBy>孤尽</cp:lastModifiedBy>
  <cp:lastPrinted>2026-07-07T02:44:00Z</cp:lastPrinted>
  <dcterms:modified xsi:type="dcterms:W3CDTF">2026-07-07T03:29:57Z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229AD0F87A6747FBAF891872975BF5E9_13</vt:lpwstr>
  </property>
  <property fmtid="{D5CDD505-2E9C-101B-9397-08002B2CF9AE}" pid="4" name="KSOTemplateDocerSaveRecord">
    <vt:lpwstr>eyJoZGlkIjoiOTNjODgwN2Y2OTE0N2ZjZjg0YTViMjViNzQwODllNzkiLCJ1c2VySWQiOiI0MTY5NDgzNzcifQ==</vt:lpwstr>
  </property>
</Properties>
</file>