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D69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4"/>
          <w:lang w:val="en-US" w:eastAsia="zh-CN"/>
        </w:rPr>
      </w:pPr>
    </w:p>
    <w:p w14:paraId="473EB3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4"/>
          <w:lang w:val="en-US" w:eastAsia="zh-CN"/>
        </w:rPr>
      </w:pPr>
    </w:p>
    <w:p w14:paraId="32D456E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24F48EF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1575F1B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712FF74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0A93CA1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b/>
          <w:bCs/>
          <w:sz w:val="32"/>
          <w:szCs w:val="32"/>
          <w:lang w:val="en-US" w:eastAsia="zh-CN"/>
        </w:rPr>
      </w:pPr>
      <w:r>
        <w:rPr>
          <w:rFonts w:hint="eastAsia" w:ascii="Times New Roman" w:hAnsi="Times New Roman"/>
          <w:b/>
          <w:bCs/>
          <w:sz w:val="32"/>
          <w:szCs w:val="32"/>
          <w:lang w:val="en-US" w:eastAsia="zh-CN"/>
        </w:rPr>
        <w:t>美团医药流量治理策略</w:t>
      </w:r>
    </w:p>
    <w:p w14:paraId="33813D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b/>
          <w:bCs/>
          <w:sz w:val="32"/>
          <w:szCs w:val="32"/>
          <w:lang w:val="en-US" w:eastAsia="zh-CN"/>
        </w:rPr>
      </w:pPr>
    </w:p>
    <w:p w14:paraId="2130CCA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t>远程实习</w:t>
      </w:r>
    </w:p>
    <w:p w14:paraId="2EE284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b/>
          <w:bCs/>
          <w:sz w:val="32"/>
          <w:szCs w:val="32"/>
          <w:lang w:val="en-US" w:eastAsia="zh-CN"/>
        </w:rPr>
      </w:pPr>
    </w:p>
    <w:p w14:paraId="01B8553B">
      <w:pPr>
        <w:rPr>
          <w:rFonts w:ascii="Times New Roman" w:hAnsi="Times New Roman" w:cs="Calibri"/>
          <w:b/>
          <w:bCs/>
          <w:i w:val="0"/>
          <w:iCs w:val="0"/>
          <w:color w:val="000000"/>
          <w:spacing w:val="0"/>
          <w:w w:val="100"/>
          <w:sz w:val="36"/>
          <w:szCs w:val="36"/>
          <w:vertAlign w:val="baseline"/>
        </w:rPr>
      </w:pPr>
    </w:p>
    <w:p w14:paraId="5D2FEF72">
      <w:pPr>
        <w:rPr>
          <w:rFonts w:ascii="Times New Roman" w:hAnsi="Times New Roman" w:cs="Calibri"/>
          <w:b/>
          <w:bCs/>
          <w:i w:val="0"/>
          <w:iCs w:val="0"/>
          <w:color w:val="000000"/>
          <w:spacing w:val="0"/>
          <w:w w:val="100"/>
          <w:sz w:val="36"/>
          <w:szCs w:val="36"/>
          <w:vertAlign w:val="baseline"/>
        </w:rPr>
      </w:pPr>
      <w:r>
        <w:rPr>
          <w:rFonts w:ascii="Times New Roman" w:hAnsi="Times New Roman" w:cs="Calibri"/>
          <w:b/>
          <w:bCs/>
          <w:i w:val="0"/>
          <w:iCs w:val="0"/>
          <w:color w:val="000000"/>
          <w:spacing w:val="0"/>
          <w:w w:val="100"/>
          <w:sz w:val="36"/>
          <w:szCs w:val="36"/>
          <w:vertAlign w:val="baseline"/>
        </w:rPr>
        <w:br w:type="page"/>
      </w:r>
    </w:p>
    <w:p w14:paraId="42DC5E58">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lang w:val="en-US" w:eastAsia="zh-CN"/>
        </w:rPr>
      </w:pPr>
      <w:r>
        <w:rPr>
          <w:rFonts w:ascii="Times New Roman" w:hAnsi="Times New Roman" w:cs="Calibri"/>
          <w:b/>
          <w:bCs/>
          <w:i w:val="0"/>
          <w:iCs w:val="0"/>
          <w:color w:val="000000"/>
          <w:spacing w:val="0"/>
          <w:w w:val="100"/>
          <w:sz w:val="36"/>
          <w:szCs w:val="36"/>
          <w:vertAlign w:val="baseline"/>
        </w:rPr>
        <w:t>1. </w:t>
      </w:r>
      <w:r>
        <w:rPr>
          <w:rFonts w:hint="eastAsia" w:ascii="Times New Roman" w:hAnsi="Times New Roman" w:eastAsia="宋体" w:cs="宋体"/>
          <w:b/>
          <w:bCs/>
          <w:i w:val="0"/>
          <w:iCs w:val="0"/>
          <w:color w:val="000000"/>
          <w:spacing w:val="0"/>
          <w:w w:val="100"/>
          <w:sz w:val="36"/>
          <w:szCs w:val="36"/>
          <w:vertAlign w:val="baseline"/>
        </w:rPr>
        <w:t>项目</w:t>
      </w:r>
      <w:r>
        <w:rPr>
          <w:rFonts w:hint="eastAsia" w:ascii="Times New Roman" w:hAnsi="Times New Roman" w:cs="宋体"/>
          <w:b/>
          <w:bCs/>
          <w:i w:val="0"/>
          <w:iCs w:val="0"/>
          <w:color w:val="000000"/>
          <w:spacing w:val="0"/>
          <w:w w:val="100"/>
          <w:sz w:val="36"/>
          <w:szCs w:val="36"/>
          <w:vertAlign w:val="baseline"/>
          <w:lang w:val="en-US" w:eastAsia="zh-CN"/>
        </w:rPr>
        <w:t>概述</w:t>
      </w:r>
    </w:p>
    <w:p w14:paraId="7EC6026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在外卖和频道搜索中新增商品和门店维度的流量治理能力，以解决此前维度治理的不足。通过poi_id、spu_id识别需治理的门店和商品，支持比例降权和前X坑位打压，并实现门店下所有商品自动继承治理策略。当门店和商品同时被治理时，店级治理优先，同级别则按优先级或策略力度执行。协议扩展兼容，提升低质商家管控效率，优化用户搜索体验。</w:t>
      </w:r>
    </w:p>
    <w:p w14:paraId="4B7692F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24DF45A">
      <w:pPr>
        <w:pStyle w:val="4"/>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行业：本地生活</w:t>
      </w:r>
    </w:p>
    <w:p w14:paraId="24BE7E51">
      <w:pPr>
        <w:pStyle w:val="4"/>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部门：核心本地商业-医药健康-搜索产品组</w:t>
      </w:r>
    </w:p>
    <w:p w14:paraId="0AA777E8">
      <w:pPr>
        <w:pStyle w:val="4"/>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目标：CXR、GMV</w:t>
      </w:r>
    </w:p>
    <w:p w14:paraId="1FDD0023">
      <w:pPr>
        <w:pStyle w:val="4"/>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产品：医药流量</w:t>
      </w:r>
    </w:p>
    <w:p w14:paraId="38936ACE">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时间：2025.6-2025.11</w:t>
      </w:r>
    </w:p>
    <w:p w14:paraId="0871A6B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3B8FAF3">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2</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宋体"/>
          <w:b/>
          <w:bCs/>
          <w:i w:val="0"/>
          <w:iCs w:val="0"/>
          <w:color w:val="000000"/>
          <w:spacing w:val="0"/>
          <w:w w:val="100"/>
          <w:sz w:val="36"/>
          <w:szCs w:val="36"/>
          <w:vertAlign w:val="baseline"/>
          <w:lang w:val="en-US" w:eastAsia="zh-CN"/>
        </w:rPr>
        <w:t>基础知识</w:t>
      </w:r>
    </w:p>
    <w:p w14:paraId="5A88514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2.1 策略PM是谁</w:t>
      </w:r>
    </w:p>
    <w:p w14:paraId="6E95DED2">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2.2.1 按业务方向分类</w:t>
      </w:r>
    </w:p>
    <w:p w14:paraId="1F735A1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1、搜索/推荐策略PM</w:t>
      </w:r>
    </w:p>
    <w:p w14:paraId="10D1AB3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负责搜索结果、信息流、推荐feed里的排序逻辑和流量分配规则。典型问题是“这个位置给谁”“这个人今天还值不值得再推荐一次”。</w:t>
      </w:r>
    </w:p>
    <w:p w14:paraId="001E578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2、广告/变现策略PM</w:t>
      </w:r>
    </w:p>
    <w:p w14:paraId="2E812CE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负责竞价、定价、广告排序、预算分配等，通过策略把广告收入、ROI和用户体验平衡起来。</w:t>
      </w:r>
    </w:p>
    <w:p w14:paraId="6DDA600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3、风险策略PM</w:t>
      </w:r>
    </w:p>
    <w:p w14:paraId="1F3E450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关注“哪些流量不该给”“哪些低质/违规供给要被打压”，在不破坏整体转化的前提下提升权威度和安全性，目前大部分工作已接入AI审核。</w:t>
      </w:r>
    </w:p>
    <w:p w14:paraId="5582F21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4、激励/补贴/会员策略PM</w:t>
      </w:r>
    </w:p>
    <w:p w14:paraId="41B1E6E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负责券、红包、积分、会员体系等，通过规则和门槛设计改变用户和商家的行为。</w:t>
      </w:r>
    </w:p>
    <w:p w14:paraId="3087B23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FE62E2F">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2.2.2 通用职责</w:t>
      </w:r>
    </w:p>
    <w:p w14:paraId="07F37A1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无论哪一类策略PM，核心职责可以归纳为4点：</w:t>
      </w:r>
    </w:p>
    <w:p w14:paraId="4B3EB73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1、定义目标</w:t>
      </w:r>
    </w:p>
    <w:p w14:paraId="1F99316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明确这套策略要优化哪个指标，是GMV、收入、权威商品浓度，还是投诉率、风险事件数。</w:t>
      </w:r>
    </w:p>
    <w:p w14:paraId="309440E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2、设计规则</w:t>
      </w:r>
    </w:p>
    <w:p w14:paraId="7A68AC2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把“给谁/不给谁/给多少”抽象成可执行的规则：分层、阈值、权重、配额、频控等。</w:t>
      </w:r>
    </w:p>
    <w:p w14:paraId="513E3DB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3、推动落地</w:t>
      </w:r>
    </w:p>
    <w:p w14:paraId="10BBE83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和算法、工程、数仓、治理中台、流量调控平台对齐数据协议和实现方案，确保策略可以被模型和系统执行。</w:t>
      </w:r>
    </w:p>
    <w:p w14:paraId="244613C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4、监控和迭代</w:t>
      </w:r>
    </w:p>
    <w:p w14:paraId="46110D4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通过AB测试和数据看板评估效果，发现badcase，持续调参和升级策略。</w:t>
      </w:r>
    </w:p>
    <w:p w14:paraId="232180D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5F1276F">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2.2.3 策略PM的常见对接方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0"/>
        <w:gridCol w:w="2836"/>
        <w:gridCol w:w="4236"/>
      </w:tblGrid>
      <w:tr w14:paraId="484B2CA5">
        <w:tc>
          <w:tcPr>
            <w:tcW w:w="1450" w:type="dxa"/>
            <w:shd w:val="clear" w:color="auto" w:fill="F4B382" w:themeFill="accent2" w:themeFillTint="99"/>
          </w:tcPr>
          <w:p w14:paraId="3F686ED3">
            <w:pPr>
              <w:pStyle w:val="4"/>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对接</w:t>
            </w:r>
          </w:p>
        </w:tc>
        <w:tc>
          <w:tcPr>
            <w:tcW w:w="2836" w:type="dxa"/>
            <w:shd w:val="clear" w:color="auto" w:fill="F4B382" w:themeFill="accent2" w:themeFillTint="99"/>
          </w:tcPr>
          <w:p w14:paraId="7E3C70B0">
            <w:pPr>
              <w:pStyle w:val="4"/>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角色</w:t>
            </w:r>
          </w:p>
        </w:tc>
        <w:tc>
          <w:tcPr>
            <w:tcW w:w="4236" w:type="dxa"/>
            <w:shd w:val="clear" w:color="auto" w:fill="F4B382" w:themeFill="accent2" w:themeFillTint="99"/>
          </w:tcPr>
          <w:p w14:paraId="16A00216">
            <w:pPr>
              <w:pStyle w:val="4"/>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说明</w:t>
            </w:r>
          </w:p>
        </w:tc>
      </w:tr>
      <w:tr w14:paraId="03B12D7E">
        <w:tc>
          <w:tcPr>
            <w:tcW w:w="1450" w:type="dxa"/>
            <w:vMerge w:val="restart"/>
          </w:tcPr>
          <w:p w14:paraId="04FF83B2">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工程/算法</w:t>
            </w:r>
          </w:p>
        </w:tc>
        <w:tc>
          <w:tcPr>
            <w:tcW w:w="2836" w:type="dxa"/>
          </w:tcPr>
          <w:p w14:paraId="01863339">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搜索算法</w:t>
            </w:r>
          </w:p>
        </w:tc>
        <w:tc>
          <w:tcPr>
            <w:tcW w:w="4236" w:type="dxa"/>
          </w:tcPr>
          <w:p w14:paraId="1F0B501B">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负责在召回、排序阶段接入特征或模型，执行降权和打压逻辑</w:t>
            </w:r>
          </w:p>
        </w:tc>
      </w:tr>
      <w:tr w14:paraId="1A1BE0FA">
        <w:tc>
          <w:tcPr>
            <w:tcW w:w="1450" w:type="dxa"/>
            <w:vMerge w:val="continue"/>
          </w:tcPr>
          <w:p w14:paraId="01A222E1">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tc>
        <w:tc>
          <w:tcPr>
            <w:tcW w:w="2836" w:type="dxa"/>
          </w:tcPr>
          <w:p w14:paraId="63028D54">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搜索工程</w:t>
            </w:r>
          </w:p>
        </w:tc>
        <w:tc>
          <w:tcPr>
            <w:tcW w:w="4236" w:type="dxa"/>
          </w:tcPr>
          <w:p w14:paraId="03182D47">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负责搜索服务的接口改造、协议解析、重排逻辑的工程实现</w:t>
            </w:r>
          </w:p>
        </w:tc>
      </w:tr>
      <w:tr w14:paraId="7C080EDC">
        <w:tc>
          <w:tcPr>
            <w:tcW w:w="1450" w:type="dxa"/>
            <w:vMerge w:val="continue"/>
          </w:tcPr>
          <w:p w14:paraId="7EE991AF">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tc>
        <w:tc>
          <w:tcPr>
            <w:tcW w:w="2836" w:type="dxa"/>
          </w:tcPr>
          <w:p w14:paraId="6DC27683">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流量调控平台工程</w:t>
            </w:r>
          </w:p>
        </w:tc>
        <w:tc>
          <w:tcPr>
            <w:tcW w:w="4236" w:type="dxa"/>
          </w:tcPr>
          <w:p w14:paraId="62B891CE">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负责治理中台→流量调控平台→搜索的参数下发链路，建设AB实验能力，保证策略可灰度、可回滚</w:t>
            </w:r>
          </w:p>
        </w:tc>
      </w:tr>
      <w:tr w14:paraId="4D3F2D0C">
        <w:tc>
          <w:tcPr>
            <w:tcW w:w="1450" w:type="dxa"/>
            <w:vMerge w:val="continue"/>
          </w:tcPr>
          <w:p w14:paraId="69C1373F">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tc>
        <w:tc>
          <w:tcPr>
            <w:tcW w:w="2836" w:type="dxa"/>
          </w:tcPr>
          <w:p w14:paraId="5F5B8B6E">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治理中台工程</w:t>
            </w:r>
          </w:p>
        </w:tc>
        <w:tc>
          <w:tcPr>
            <w:tcW w:w="4236" w:type="dxa"/>
          </w:tcPr>
          <w:p w14:paraId="51DAC510">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负责规则配置系统和治理结果的产出</w:t>
            </w:r>
          </w:p>
        </w:tc>
      </w:tr>
      <w:tr w14:paraId="2B3BD024">
        <w:tc>
          <w:tcPr>
            <w:tcW w:w="1450" w:type="dxa"/>
            <w:vMerge w:val="continue"/>
          </w:tcPr>
          <w:p w14:paraId="71885C6D">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tc>
        <w:tc>
          <w:tcPr>
            <w:tcW w:w="2836" w:type="dxa"/>
          </w:tcPr>
          <w:p w14:paraId="034F3FC9">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数据开发</w:t>
            </w:r>
          </w:p>
        </w:tc>
        <w:tc>
          <w:tcPr>
            <w:tcW w:w="4236" w:type="dxa"/>
          </w:tcPr>
          <w:p w14:paraId="4D0CAC19">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负责将曝光日志和治理标记沉淀为特征，支持离线分析和实时特征回流</w:t>
            </w:r>
          </w:p>
        </w:tc>
      </w:tr>
      <w:tr w14:paraId="794E1F45">
        <w:tc>
          <w:tcPr>
            <w:tcW w:w="1450" w:type="dxa"/>
            <w:vMerge w:val="restart"/>
          </w:tcPr>
          <w:p w14:paraId="47BFC870">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业务/运营</w:t>
            </w:r>
          </w:p>
        </w:tc>
        <w:tc>
          <w:tcPr>
            <w:tcW w:w="2836" w:type="dxa"/>
          </w:tcPr>
          <w:p w14:paraId="00A63101">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产品运营</w:t>
            </w:r>
          </w:p>
        </w:tc>
        <w:tc>
          <w:tcPr>
            <w:tcW w:w="4236" w:type="dxa"/>
          </w:tcPr>
          <w:p w14:paraId="4AFEA78B">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自己业务线的运营，负责流量维护</w:t>
            </w:r>
          </w:p>
        </w:tc>
      </w:tr>
      <w:tr w14:paraId="04B2D4C6">
        <w:tc>
          <w:tcPr>
            <w:tcW w:w="1450" w:type="dxa"/>
            <w:vMerge w:val="continue"/>
          </w:tcPr>
          <w:p w14:paraId="76125E3A">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tc>
        <w:tc>
          <w:tcPr>
            <w:tcW w:w="2836" w:type="dxa"/>
          </w:tcPr>
          <w:p w14:paraId="38210E1A">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治理运营</w:t>
            </w:r>
          </w:p>
        </w:tc>
        <w:tc>
          <w:tcPr>
            <w:tcW w:w="4236" w:type="dxa"/>
          </w:tcPr>
          <w:p w14:paraId="7051D187">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定义需要治理的流量</w:t>
            </w:r>
          </w:p>
        </w:tc>
      </w:tr>
      <w:tr w14:paraId="522357FB">
        <w:tc>
          <w:tcPr>
            <w:tcW w:w="1450" w:type="dxa"/>
            <w:vMerge w:val="continue"/>
          </w:tcPr>
          <w:p w14:paraId="273613C0">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tc>
        <w:tc>
          <w:tcPr>
            <w:tcW w:w="2836" w:type="dxa"/>
          </w:tcPr>
          <w:p w14:paraId="6E523B6C">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商业化产品等其他流量增值产品</w:t>
            </w:r>
          </w:p>
        </w:tc>
        <w:tc>
          <w:tcPr>
            <w:tcW w:w="4236" w:type="dxa"/>
          </w:tcPr>
          <w:p w14:paraId="53A52EC0">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下游业务线</w:t>
            </w:r>
          </w:p>
        </w:tc>
      </w:tr>
      <w:tr w14:paraId="381053D3">
        <w:tc>
          <w:tcPr>
            <w:tcW w:w="1450" w:type="dxa"/>
            <w:vMerge w:val="continue"/>
          </w:tcPr>
          <w:p w14:paraId="67277113">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tc>
        <w:tc>
          <w:tcPr>
            <w:tcW w:w="2836" w:type="dxa"/>
          </w:tcPr>
          <w:p w14:paraId="30A7EDB0">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商品组产品</w:t>
            </w:r>
          </w:p>
        </w:tc>
        <w:tc>
          <w:tcPr>
            <w:tcW w:w="4236" w:type="dxa"/>
          </w:tcPr>
          <w:p w14:paraId="42D5026A">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负责商品生产及流转</w:t>
            </w:r>
          </w:p>
        </w:tc>
      </w:tr>
    </w:tbl>
    <w:p w14:paraId="513DFE2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6E53AB3">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2.2.4 策略PM的软硬实力</w:t>
      </w:r>
    </w:p>
    <w:p w14:paraId="6CB4A79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1、硬实力</w:t>
      </w:r>
    </w:p>
    <w:p w14:paraId="013E7C7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（1）数据分析能力</w:t>
      </w:r>
    </w:p>
    <w:p w14:paraId="6A3722F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能独立定义指标、写简单SQL、理解分布和占比。</w:t>
      </w:r>
    </w:p>
    <w:p w14:paraId="48664FA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（2）搜索/推荐基础认知</w:t>
      </w:r>
    </w:p>
    <w:p w14:paraId="7B6AA14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了解query、召回、排序、重排、特征的基本概念，知道策略插在哪一层更合理。</w:t>
      </w:r>
    </w:p>
    <w:p w14:paraId="48C915E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（3）协议与系统思维</w:t>
      </w:r>
    </w:p>
    <w:p w14:paraId="4A2223F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能把特征拆成字段设计，满足索引建设，保证向前兼容。</w:t>
      </w:r>
    </w:p>
    <w:p w14:paraId="7045C8D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（4）实验设计能力</w:t>
      </w:r>
    </w:p>
    <w:p w14:paraId="4CE9582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会设计AB测试，知道实验组/对照组怎么划分，哪些指标看短期、哪些看长期。</w:t>
      </w:r>
    </w:p>
    <w:p w14:paraId="346EA8A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C3DE95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2、软实力</w:t>
      </w:r>
    </w:p>
    <w:p w14:paraId="4BC03FB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（1）多方协同与博弈</w:t>
      </w:r>
    </w:p>
    <w:p w14:paraId="4BC80AD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在治理、运营、算法、工程之间拉齐目标：既要打压低质供给，又要控制GMV损失。</w:t>
      </w:r>
    </w:p>
    <w:p w14:paraId="4AC7DAA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（2）结构化表达</w:t>
      </w:r>
    </w:p>
    <w:p w14:paraId="5032C0B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把复杂链路讲清楚：比如从“门店服务分低”这类业务词，映射到具体治理类型和策略逻辑。</w:t>
      </w:r>
    </w:p>
    <w:p w14:paraId="72A2D78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（3）风险意识</w:t>
      </w:r>
    </w:p>
    <w:p w14:paraId="3316F96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知道哪些规则必须慎重发布，比如门店级强打压可能带来大盘波动，要有兜底方案和回滚预案。</w:t>
      </w:r>
    </w:p>
    <w:p w14:paraId="07244E4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（4）抽象与复用</w:t>
      </w:r>
    </w:p>
    <w:p w14:paraId="4906B54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把一次项目沉淀成可复用的策略模板，后续新增类型只要扩展枚举即可。</w:t>
      </w:r>
    </w:p>
    <w:p w14:paraId="6B39689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1A2024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2.2 我们的业务内容和产品</w:t>
      </w:r>
    </w:p>
    <w:p w14:paraId="44BA5854">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2.2.1 产品是什么</w:t>
      </w:r>
    </w:p>
    <w:p w14:paraId="5445424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外卖搜/频道搜的搜索结果页，自然流量部分的排序与治理能力。</w:t>
      </w:r>
    </w:p>
    <w:p w14:paraId="55FCE2A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drawing>
          <wp:inline distT="0" distB="0" distL="114300" distR="114300">
            <wp:extent cx="1887855" cy="4105910"/>
            <wp:effectExtent l="0" t="0" r="17145" b="8890"/>
            <wp:docPr id="1" name="图片 1" descr="IMG_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9647"/>
                    <pic:cNvPicPr>
                      <a:picLocks noChangeAspect="1"/>
                    </pic:cNvPicPr>
                  </pic:nvPicPr>
                  <pic:blipFill>
                    <a:blip r:embed="rId4"/>
                    <a:stretch>
                      <a:fillRect/>
                    </a:stretch>
                  </pic:blipFill>
                  <pic:spPr>
                    <a:xfrm>
                      <a:off x="0" y="0"/>
                      <a:ext cx="1887855" cy="4105910"/>
                    </a:xfrm>
                    <a:prstGeom prst="rect">
                      <a:avLst/>
                    </a:prstGeom>
                  </pic:spPr>
                </pic:pic>
              </a:graphicData>
            </a:graphic>
          </wp:inline>
        </w:drawing>
      </w:r>
      <w:r>
        <w:rPr>
          <w:rFonts w:hint="eastAsia" w:ascii="Calibri" w:hAnsi="Calibri" w:eastAsia="宋体"/>
          <w:sz w:val="24"/>
          <w:lang w:val="en-US" w:eastAsia="zh-CN"/>
        </w:rPr>
        <w:drawing>
          <wp:inline distT="0" distB="0" distL="114300" distR="114300">
            <wp:extent cx="1877695" cy="4083685"/>
            <wp:effectExtent l="0" t="0" r="1905" b="5715"/>
            <wp:docPr id="2" name="图片 2" descr="IMG_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9648"/>
                    <pic:cNvPicPr>
                      <a:picLocks noChangeAspect="1"/>
                    </pic:cNvPicPr>
                  </pic:nvPicPr>
                  <pic:blipFill>
                    <a:blip r:embed="rId5"/>
                    <a:stretch>
                      <a:fillRect/>
                    </a:stretch>
                  </pic:blipFill>
                  <pic:spPr>
                    <a:xfrm>
                      <a:off x="0" y="0"/>
                      <a:ext cx="1877695" cy="4083685"/>
                    </a:xfrm>
                    <a:prstGeom prst="rect">
                      <a:avLst/>
                    </a:prstGeom>
                  </pic:spPr>
                </pic:pic>
              </a:graphicData>
            </a:graphic>
          </wp:inline>
        </w:drawing>
      </w:r>
    </w:p>
    <w:p w14:paraId="019F75D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B35843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外卖搜中包含商家流和商品流</w:t>
      </w:r>
    </w:p>
    <w:p w14:paraId="2A63A47F">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频道搜中仅有商品流。</w:t>
      </w:r>
    </w:p>
    <w:p w14:paraId="27FCA45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5DDFA9E">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color w:val="0000FF"/>
          <w:sz w:val="24"/>
          <w:lang w:val="en-US" w:eastAsia="zh-CN"/>
        </w:rPr>
      </w:pPr>
      <w:r>
        <w:rPr>
          <w:rFonts w:hint="eastAsia" w:ascii="Calibri" w:hAnsi="Calibri" w:eastAsia="宋体"/>
          <w:color w:val="0000FF"/>
          <w:sz w:val="24"/>
          <w:lang w:val="en-US" w:eastAsia="zh-CN"/>
        </w:rPr>
        <w:t>思考原因？</w:t>
      </w:r>
    </w:p>
    <w:p w14:paraId="0657ADC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B752090">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2.2.2 业务场景有哪些</w:t>
      </w:r>
    </w:p>
    <w:p w14:paraId="3360AE90">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医药的商家区分为药企和药店；</w:t>
      </w:r>
    </w:p>
    <w:p w14:paraId="27EBB874">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医药的业务分类为O2O药店、O2O新品类、B2C药店、B2C新品类。</w:t>
      </w:r>
    </w:p>
    <w:p w14:paraId="4D45E77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9D2F6C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2.3 流量认知</w:t>
      </w:r>
    </w:p>
    <w:p w14:paraId="777B15A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简单定义：在搜索/推荐系统中，流量指“用户对某个结果的曝光和点击机会”，是平台最核心的资源之一。策略PM的工作就是决定“流量给谁、给多少、在什么条件下给”。</w:t>
      </w:r>
    </w:p>
    <w:p w14:paraId="36AE7C8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408EBF2">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2.3.1 推荐和搜索概述</w:t>
      </w:r>
    </w:p>
    <w:p w14:paraId="55577DA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1、搜索</w:t>
      </w:r>
    </w:p>
    <w:p w14:paraId="7B38D50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用户主动输入query，系统根据query和上下文，从全量供给中找出“相关候选”，排序后展示。</w:t>
      </w:r>
    </w:p>
    <w:p w14:paraId="20B52CB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特点：</w:t>
      </w:r>
    </w:p>
    <w:p w14:paraId="5B057AB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a.有明确意图，query是强信号；</w:t>
      </w:r>
    </w:p>
    <w:p w14:paraId="2A46273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b.用户对相关性预期更高，对排序解释性需求更强。</w:t>
      </w:r>
    </w:p>
    <w:p w14:paraId="72D0B9A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0BE499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2、推荐</w:t>
      </w:r>
    </w:p>
    <w:p w14:paraId="1ABE4FA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系统主动在feed中推内容或商品，用户不必输入query。</w:t>
      </w:r>
    </w:p>
    <w:p w14:paraId="150CD53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特点：</w:t>
      </w:r>
    </w:p>
    <w:p w14:paraId="03F44F7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a.更多依赖用户画像、历史行为；</w:t>
      </w:r>
    </w:p>
    <w:p w14:paraId="18B1ACE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b.以“发现感”和“停留时长”等为目标。</w:t>
      </w:r>
    </w:p>
    <w:p w14:paraId="63BF71D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56774561">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2.3.2 query意图识别和改写</w:t>
      </w:r>
    </w:p>
    <w:p w14:paraId="125C114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为了让搜索结果更相关，系统会对query做意图识别和必要的改写：</w:t>
      </w:r>
    </w:p>
    <w:p w14:paraId="6DDB9B7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1、意图识别</w:t>
      </w:r>
    </w:p>
    <w:p w14:paraId="5C97F1E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（1）品类意图：如“感冒药”“避孕套”，对应到医药品类或成人用品；</w:t>
      </w:r>
    </w:p>
    <w:p w14:paraId="2EEE50E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（2）品牌意图：如“999感冒灵”，对应品牌+具体商品；</w:t>
      </w:r>
    </w:p>
    <w:p w14:paraId="73329DB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（3）症状/功效意图：如“发烧”“胃胀气”，需要匹配对症药品；</w:t>
      </w:r>
    </w:p>
    <w:p w14:paraId="2FA88BA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（4）门店意图：如“附近药店”“24小时药店”。</w:t>
      </w:r>
    </w:p>
    <w:p w14:paraId="582BC58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2、query改写</w:t>
      </w:r>
    </w:p>
    <w:p w14:paraId="6011E48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（1）同义词扩展（“退烧药”≈“解热药”）；</w:t>
      </w:r>
    </w:p>
    <w:p w14:paraId="47BB0F6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（2）纠错（拼写错误纠正）；</w:t>
      </w:r>
    </w:p>
    <w:p w14:paraId="01C45DE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（3）结构化解析（将药品名称拆解为通用名+剂型+规格）。</w:t>
      </w:r>
    </w:p>
    <w:p w14:paraId="6969A73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5D8C739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这些能力是上游基础，对后续召回和排序有重要影响。</w:t>
      </w:r>
    </w:p>
    <w:p w14:paraId="10B8635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55395B41">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2.3.3 召回通路</w:t>
      </w:r>
    </w:p>
    <w:p w14:paraId="3E3D74F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召回是“从全库把一批候选捞上来”的过程，一般有多条通路并行：</w:t>
      </w:r>
    </w:p>
    <w:tbl>
      <w:tblPr>
        <w:tblStyle w:val="6"/>
        <w:tblW w:w="9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3021"/>
        <w:gridCol w:w="4989"/>
      </w:tblGrid>
      <w:tr w14:paraId="6E038393">
        <w:tc>
          <w:tcPr>
            <w:tcW w:w="1623" w:type="dxa"/>
            <w:shd w:val="clear" w:color="auto" w:fill="F4B382" w:themeFill="accent2" w:themeFillTint="99"/>
          </w:tcPr>
          <w:p w14:paraId="15AB5486">
            <w:pPr>
              <w:pStyle w:val="4"/>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召回通路</w:t>
            </w:r>
          </w:p>
        </w:tc>
        <w:tc>
          <w:tcPr>
            <w:tcW w:w="3021" w:type="dxa"/>
            <w:shd w:val="clear" w:color="auto" w:fill="F4B382" w:themeFill="accent2" w:themeFillTint="99"/>
          </w:tcPr>
          <w:p w14:paraId="1F6C8776">
            <w:pPr>
              <w:pStyle w:val="4"/>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定义</w:t>
            </w:r>
          </w:p>
        </w:tc>
        <w:tc>
          <w:tcPr>
            <w:tcW w:w="4989" w:type="dxa"/>
            <w:shd w:val="clear" w:color="auto" w:fill="F4B382" w:themeFill="accent2" w:themeFillTint="99"/>
          </w:tcPr>
          <w:p w14:paraId="1C2F945B">
            <w:pPr>
              <w:pStyle w:val="4"/>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实现方式</w:t>
            </w:r>
          </w:p>
        </w:tc>
      </w:tr>
      <w:tr w14:paraId="078789A9">
        <w:tc>
          <w:tcPr>
            <w:tcW w:w="1623" w:type="dxa"/>
          </w:tcPr>
          <w:p w14:paraId="3C87A44C">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lang w:val="en-US" w:eastAsia="zh-CN"/>
              </w:rPr>
              <w:t>关键词召回</w:t>
            </w:r>
          </w:p>
        </w:tc>
        <w:tc>
          <w:tcPr>
            <w:tcW w:w="3021" w:type="dxa"/>
          </w:tcPr>
          <w:p w14:paraId="2A852BFF">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lang w:val="en-US" w:eastAsia="zh-CN"/>
              </w:rPr>
              <w:t>基于倒排索引，直接用query中的词去匹配标题、属性。</w:t>
            </w:r>
          </w:p>
        </w:tc>
        <w:tc>
          <w:tcPr>
            <w:tcW w:w="4989" w:type="dxa"/>
          </w:tcPr>
          <w:p w14:paraId="48259890">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lang w:val="en-US" w:eastAsia="zh-CN"/>
              </w:rPr>
            </w:pPr>
            <w:r>
              <w:rPr>
                <w:rFonts w:hint="eastAsia" w:ascii="Calibri" w:hAnsi="Calibri" w:eastAsia="宋体"/>
                <w:sz w:val="24"/>
                <w:lang w:val="en-US" w:eastAsia="zh-CN"/>
              </w:rPr>
              <w:t>对所有商品做分词,建立“词→商品列表”的倒排索引；</w:t>
            </w:r>
          </w:p>
          <w:p w14:paraId="638FD358">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lang w:val="en-US" w:eastAsia="zh-CN"/>
              </w:rPr>
            </w:pPr>
            <w:r>
              <w:rPr>
                <w:rFonts w:hint="eastAsia" w:ascii="Calibri" w:hAnsi="Calibri" w:eastAsia="宋体"/>
                <w:sz w:val="24"/>
                <w:lang w:val="en-US" w:eastAsia="zh-CN"/>
              </w:rPr>
              <w:t>用户输入query后,对query分词，用这些词去索引里查对应的商品集合；</w:t>
            </w:r>
          </w:p>
          <w:p w14:paraId="3E326010">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lang w:val="en-US" w:eastAsia="zh-CN"/>
              </w:rPr>
            </w:pPr>
            <w:r>
              <w:rPr>
                <w:rFonts w:hint="eastAsia" w:ascii="Calibri" w:hAnsi="Calibri" w:eastAsia="宋体"/>
                <w:sz w:val="24"/>
                <w:lang w:val="en-US" w:eastAsia="zh-CN"/>
              </w:rPr>
              <w:t>按命中词个数、权重做一轮简单打分，得到第一批候选。</w:t>
            </w:r>
          </w:p>
        </w:tc>
      </w:tr>
      <w:tr w14:paraId="384C0AC8">
        <w:tc>
          <w:tcPr>
            <w:tcW w:w="1623" w:type="dxa"/>
          </w:tcPr>
          <w:p w14:paraId="0E036D07">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lang w:val="en-US" w:eastAsia="zh-CN"/>
              </w:rPr>
            </w:pPr>
            <w:r>
              <w:rPr>
                <w:rFonts w:hint="eastAsia" w:ascii="Calibri" w:hAnsi="Calibri" w:eastAsia="宋体"/>
                <w:sz w:val="24"/>
                <w:lang w:val="en-US" w:eastAsia="zh-CN"/>
              </w:rPr>
              <w:t>结构化召回</w:t>
            </w:r>
          </w:p>
        </w:tc>
        <w:tc>
          <w:tcPr>
            <w:tcW w:w="3021" w:type="dxa"/>
          </w:tcPr>
          <w:p w14:paraId="1321A394">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基于商品/门店的结构化字段(类目、品牌、通用名、适应症标签、处方属性等)来做召回,把满足某些结构条件的候选统一捞出来。</w:t>
            </w:r>
          </w:p>
        </w:tc>
        <w:tc>
          <w:tcPr>
            <w:tcW w:w="4989" w:type="dxa"/>
          </w:tcPr>
          <w:p w14:paraId="14BB4FC5">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1、先把商品打上结构化标签：</w:t>
            </w:r>
          </w:p>
          <w:p w14:paraId="5A93D722">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类目：感冒发烧、肠胃消化、避孕测孕等；</w:t>
            </w:r>
          </w:p>
          <w:p w14:paraId="7DD7AAE8">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品牌：999、云南白药等；</w:t>
            </w:r>
          </w:p>
          <w:p w14:paraId="5FE0FB23">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药品通用名：布洛芬、对乙酰氨基酚等；</w:t>
            </w:r>
          </w:p>
          <w:p w14:paraId="27BBF84B">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属性：OTC/处方药/非药品、成人/儿童用药等;</w:t>
            </w:r>
          </w:p>
          <w:p w14:paraId="25CD6C70">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2、query解析阶段,把用户query映射到这些结构化槽位：</w:t>
            </w:r>
          </w:p>
          <w:p w14:paraId="56FC0B6C">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“儿童感冒药”→类目=感冒发烧+人群=儿童;</w:t>
            </w:r>
          </w:p>
          <w:p w14:paraId="058B0366">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“布洛芬止痛片”→通用名=布洛芬+功效=止痛；</w:t>
            </w:r>
          </w:p>
          <w:p w14:paraId="490D67C3">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召回时直接用这些标签做过滤和召回,比如“类目=感冒发烧且OTC=是”。</w:t>
            </w:r>
          </w:p>
        </w:tc>
      </w:tr>
      <w:tr w14:paraId="579277F3">
        <w:tc>
          <w:tcPr>
            <w:tcW w:w="1623" w:type="dxa"/>
          </w:tcPr>
          <w:p w14:paraId="48E92291">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lang w:val="en-US" w:eastAsia="zh-CN"/>
              </w:rPr>
              <w:t>向量召回</w:t>
            </w:r>
          </w:p>
        </w:tc>
        <w:tc>
          <w:tcPr>
            <w:tcW w:w="3021" w:type="dxa"/>
          </w:tcPr>
          <w:p w14:paraId="1620A4F0">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把query和商品都编码成向量,通过向量相似度(如余弦相似度)检索“语义相近”的候选,主要用来补充长尾和语义表达多样的场景。</w:t>
            </w:r>
          </w:p>
        </w:tc>
        <w:tc>
          <w:tcPr>
            <w:tcW w:w="4989" w:type="dxa"/>
          </w:tcPr>
          <w:p w14:paraId="2BEBEF8D">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训练一个文本向量模型(如双塔结构),分别对query和商品文本(标题+类目+属性)做编码;</w:t>
            </w:r>
          </w:p>
          <w:p w14:paraId="3E7698B2">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把所有商品向量化后存入向量库;</w:t>
            </w:r>
          </w:p>
          <w:p w14:paraId="4273E0B5">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用户输入query后,实时生成query向量,在向量库里做近邻搜索,取TopK相似商品作为候选。</w:t>
            </w:r>
          </w:p>
        </w:tc>
      </w:tr>
      <w:tr w14:paraId="45E8156F">
        <w:tc>
          <w:tcPr>
            <w:tcW w:w="1623" w:type="dxa"/>
          </w:tcPr>
          <w:p w14:paraId="1BDBB43D">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lang w:val="en-US" w:eastAsia="zh-CN"/>
              </w:rPr>
              <w:t>LBS召回</w:t>
            </w:r>
          </w:p>
        </w:tc>
        <w:tc>
          <w:tcPr>
            <w:tcW w:w="3021" w:type="dxa"/>
          </w:tcPr>
          <w:p w14:paraId="7E2D21F6">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lang w:val="en-US" w:eastAsia="zh-CN"/>
              </w:rPr>
              <w:t>在本地生活场景下，根据位置召回附近可履约的门店和商品。</w:t>
            </w:r>
          </w:p>
        </w:tc>
        <w:tc>
          <w:tcPr>
            <w:tcW w:w="4989" w:type="dxa"/>
          </w:tcPr>
          <w:p w14:paraId="6AF83B15">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lang w:val="en-US" w:eastAsia="zh-CN"/>
              </w:rPr>
            </w:pPr>
            <w:r>
              <w:rPr>
                <w:rFonts w:hint="eastAsia" w:ascii="Calibri" w:hAnsi="Calibri" w:eastAsia="宋体"/>
                <w:sz w:val="24"/>
                <w:lang w:val="en-US" w:eastAsia="zh-CN"/>
              </w:rPr>
              <w:t>为每个门店存储地理坐标并建立空间索引(如geohash);</w:t>
            </w:r>
          </w:p>
          <w:p w14:paraId="783C850B">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lang w:val="en-US" w:eastAsia="zh-CN"/>
              </w:rPr>
            </w:pPr>
            <w:r>
              <w:rPr>
                <w:rFonts w:hint="eastAsia" w:ascii="Calibri" w:hAnsi="Calibri" w:eastAsia="宋体"/>
                <w:sz w:val="24"/>
                <w:lang w:val="en-US" w:eastAsia="zh-CN"/>
              </w:rPr>
              <w:t>用户发起搜索时,获取用户当前定位或选定地址;</w:t>
            </w:r>
          </w:p>
          <w:p w14:paraId="030699D2">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lang w:val="en-US" w:eastAsia="zh-CN"/>
              </w:rPr>
            </w:pPr>
            <w:r>
              <w:rPr>
                <w:rFonts w:hint="eastAsia" w:ascii="Calibri" w:hAnsi="Calibri" w:eastAsia="宋体"/>
                <w:sz w:val="24"/>
                <w:lang w:val="en-US" w:eastAsia="zh-CN"/>
              </w:rPr>
              <w:t>按半径或配送范围查找“可履约门店”集合;</w:t>
            </w:r>
          </w:p>
          <w:p w14:paraId="05C072A1">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lang w:val="en-US" w:eastAsia="zh-CN"/>
              </w:rPr>
            </w:pPr>
            <w:r>
              <w:rPr>
                <w:rFonts w:hint="eastAsia" w:ascii="Calibri" w:hAnsi="Calibri" w:eastAsia="宋体"/>
                <w:sz w:val="24"/>
                <w:lang w:val="en-US" w:eastAsia="zh-CN"/>
              </w:rPr>
              <w:t>再在这些门店下做商品召回(关键词/结构化/向量),最终形成“附近可配送商品列表”。</w:t>
            </w:r>
          </w:p>
        </w:tc>
      </w:tr>
      <w:tr w14:paraId="7F45CDA9">
        <w:tc>
          <w:tcPr>
            <w:tcW w:w="1623" w:type="dxa"/>
          </w:tcPr>
          <w:p w14:paraId="69FD9C7D">
            <w:pPr>
              <w:pStyle w:val="4"/>
              <w:keepNext w:val="0"/>
              <w:keepLines w:val="0"/>
              <w:widowControl/>
              <w:suppressLineNumbers w:val="0"/>
              <w:spacing w:before="0" w:beforeAutospacing="0" w:after="0" w:afterAutospacing="0" w:line="360" w:lineRule="auto"/>
              <w:ind w:right="0"/>
              <w:jc w:val="both"/>
              <w:rPr>
                <w:rFonts w:hint="default" w:ascii="Calibri" w:hAnsi="Calibri" w:eastAsia="宋体"/>
                <w:sz w:val="24"/>
                <w:lang w:val="en-US" w:eastAsia="zh-CN"/>
              </w:rPr>
            </w:pPr>
            <w:r>
              <w:rPr>
                <w:rFonts w:hint="eastAsia" w:ascii="Calibri" w:hAnsi="Calibri" w:eastAsia="宋体"/>
                <w:sz w:val="24"/>
                <w:lang w:val="en-US" w:eastAsia="zh-CN"/>
              </w:rPr>
              <w:t>生成式召回</w:t>
            </w:r>
          </w:p>
        </w:tc>
        <w:tc>
          <w:tcPr>
            <w:tcW w:w="3021" w:type="dxa"/>
          </w:tcPr>
          <w:p w14:paraId="2A77D850">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利用大模型等生成式能力,对query做意图理解、改写和扩展,甚至直接生成“候选检索query或标签”,从而召回更丰富、更精准的结果。</w:t>
            </w:r>
          </w:p>
        </w:tc>
        <w:tc>
          <w:tcPr>
            <w:tcW w:w="4989" w:type="dxa"/>
          </w:tcPr>
          <w:p w14:paraId="00E966A5">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1、生成式query改写/扩写</w:t>
            </w:r>
          </w:p>
          <w:p w14:paraId="30BA1772">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输入:原始query(如“胃疼难受怎么办”);</w:t>
            </w:r>
          </w:p>
          <w:p w14:paraId="29E006EF">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大模型输出:</w:t>
            </w:r>
          </w:p>
          <w:p w14:paraId="53A32833">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标准化版本:“胃痛用药推荐”;</w:t>
            </w:r>
          </w:p>
          <w:p w14:paraId="45EA6DC9">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同义表达:“胃胀气消化不良吃什么药”“缓解胃部不适的药”;</w:t>
            </w:r>
          </w:p>
          <w:p w14:paraId="4C98355F">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系统用这些改写后的query去走关键词召回/结构化召回/向量召回,扩大召回范围。</w:t>
            </w:r>
          </w:p>
          <w:p w14:paraId="7DDF0C25">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2、生成式意图标签</w:t>
            </w:r>
          </w:p>
          <w:p w14:paraId="480AC0E0">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输入:query+上下文(如用户最近浏览了肠胃药);</w:t>
            </w:r>
          </w:p>
          <w:p w14:paraId="2F351F36">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大模型输出:</w:t>
            </w:r>
          </w:p>
          <w:p w14:paraId="589905C6">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意图类型:症状→肠胃不适;</w:t>
            </w:r>
          </w:p>
          <w:p w14:paraId="637CA1DE">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推荐类目:肠胃消化药;</w:t>
            </w:r>
          </w:p>
          <w:p w14:paraId="2376C7DB">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约束条件:避免儿童禁用成分等;</w:t>
            </w:r>
          </w:p>
          <w:p w14:paraId="7D4B7B84">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系统根据这些标签走结构化召回,保证“对症、对人群”。</w:t>
            </w:r>
          </w:p>
          <w:p w14:paraId="6454BD4F">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3、生成式候选提示</w:t>
            </w:r>
          </w:p>
          <w:p w14:paraId="6FE2519A">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大模型直接生成一组“候选描述或属性组合”,系统再根据这些属性去索引中检索商品。</w:t>
            </w:r>
          </w:p>
          <w:p w14:paraId="41DB9B76">
            <w:pPr>
              <w:pStyle w:val="4"/>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例如:对“买便宜的感冒药”生成“价格≤X、通用名=对乙酰氨基酚、OTC=是”的约束。</w:t>
            </w:r>
          </w:p>
        </w:tc>
      </w:tr>
    </w:tbl>
    <w:p w14:paraId="00C32AB1">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color w:val="0000FF"/>
          <w:sz w:val="24"/>
          <w:lang w:val="en-US" w:eastAsia="zh-CN"/>
        </w:rPr>
      </w:pPr>
      <w:r>
        <w:rPr>
          <w:rFonts w:hint="eastAsia" w:ascii="Calibri" w:hAnsi="Calibri" w:eastAsia="宋体"/>
          <w:color w:val="0000FF"/>
          <w:sz w:val="24"/>
          <w:lang w:val="en-US" w:eastAsia="zh-CN"/>
        </w:rPr>
        <w:t>思考：在医药业务下不同召回通路的优缺点</w:t>
      </w:r>
    </w:p>
    <w:p w14:paraId="68FF36C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1DD910B5">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2.3.4 排序</w:t>
      </w:r>
    </w:p>
    <w:p w14:paraId="5BDF8BD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排序回答的问题是“这些候选谁在前谁在后”：</w:t>
      </w:r>
    </w:p>
    <w:p w14:paraId="19E5845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1、粗排</w:t>
      </w:r>
    </w:p>
    <w:p w14:paraId="6B0DA43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对大量候选进行快速筛选，一般使用简单模型或规则，目的是缩小候选集。</w:t>
      </w:r>
    </w:p>
    <w:p w14:paraId="0D42559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2、精排</w:t>
      </w:r>
    </w:p>
    <w:p w14:paraId="680D1C6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使用复杂模型（例如点击/转化预估模型），综合多维特征输出最终分数。</w:t>
      </w:r>
    </w:p>
    <w:p w14:paraId="375F086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3、重排</w:t>
      </w:r>
    </w:p>
    <w:p w14:paraId="2FE475B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在精排基础上做策略层的微调：多样性、流量配比、优质加权等，更多体现策略PM的意图。</w:t>
      </w:r>
    </w:p>
    <w:p w14:paraId="1C063B2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16A0B5CC">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2.3.5 机制or门槛</w:t>
      </w:r>
    </w:p>
    <w:p w14:paraId="344D759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机制层or门槛是“规则+配额+阈值”的集合，决定策略何时触发、触发多少，是策略PM与算法共同设定的动态边界。</w:t>
      </w:r>
    </w:p>
    <w:p w14:paraId="7A78ED0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6E136E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2.4 常见关注的数据指标</w:t>
      </w:r>
    </w:p>
    <w:p w14:paraId="5767807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通路召回数量：每条召回通路在一定时间内召回的候选数量</w:t>
      </w:r>
    </w:p>
    <w:p w14:paraId="0E6BECE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供给召回覆盖：被召回过的商品数/总可用商品数</w:t>
      </w:r>
    </w:p>
    <w:p w14:paraId="204AAEF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排序截断数量占比：被截断候选数/总召回候选数</w:t>
      </w:r>
    </w:p>
    <w:p w14:paraId="62E6773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请求量：在一定时间窗口内,搜索请求的次数,一般按query请求维度统计</w:t>
      </w:r>
    </w:p>
    <w:p w14:paraId="5E824107">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ASN=曝光uv/请求量</w:t>
      </w:r>
    </w:p>
    <w:p w14:paraId="002CD914">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CXR=CTR*CVR</w:t>
      </w:r>
    </w:p>
    <w:p w14:paraId="0AC037CB">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p>
    <w:p w14:paraId="63A84E90">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color w:val="0000FF"/>
          <w:sz w:val="24"/>
          <w:lang w:val="en-US" w:eastAsia="zh-CN"/>
        </w:rPr>
      </w:pPr>
      <w:r>
        <w:rPr>
          <w:rFonts w:hint="eastAsia" w:ascii="Calibri" w:hAnsi="Calibri" w:eastAsia="宋体"/>
          <w:color w:val="0000FF"/>
          <w:sz w:val="24"/>
          <w:lang w:val="en-US" w:eastAsia="zh-CN"/>
        </w:rPr>
        <w:t>思考：UV</w:t>
      </w:r>
      <w:r>
        <w:rPr>
          <w:rFonts w:hint="default" w:ascii="Calibri" w:hAnsi="Calibri" w:eastAsia="宋体"/>
          <w:color w:val="0000FF"/>
          <w:sz w:val="24"/>
          <w:lang w:val="en-US" w:eastAsia="zh-CN"/>
        </w:rPr>
        <w:t>_CXR</w:t>
      </w:r>
      <w:r>
        <w:rPr>
          <w:rFonts w:hint="eastAsia" w:ascii="Calibri" w:hAnsi="Calibri" w:eastAsia="宋体"/>
          <w:color w:val="0000FF"/>
          <w:sz w:val="24"/>
          <w:lang w:val="en-US" w:eastAsia="zh-CN"/>
        </w:rPr>
        <w:t>和PV</w:t>
      </w:r>
      <w:r>
        <w:rPr>
          <w:rFonts w:hint="default" w:ascii="Calibri" w:hAnsi="Calibri" w:eastAsia="宋体"/>
          <w:color w:val="0000FF"/>
          <w:sz w:val="24"/>
          <w:lang w:val="en-US" w:eastAsia="zh-CN"/>
        </w:rPr>
        <w:t>_CXR</w:t>
      </w:r>
      <w:r>
        <w:rPr>
          <w:rFonts w:hint="eastAsia" w:ascii="Calibri" w:hAnsi="Calibri" w:eastAsia="宋体"/>
          <w:color w:val="0000FF"/>
          <w:sz w:val="24"/>
          <w:lang w:val="en-US" w:eastAsia="zh-CN"/>
        </w:rPr>
        <w:t>的应用区别是什么？</w:t>
      </w:r>
    </w:p>
    <w:p w14:paraId="704027C1">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p>
    <w:p w14:paraId="5C4ABDA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总结来看：</w:t>
      </w:r>
    </w:p>
    <w:p w14:paraId="2C1F273B">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-召回层看:通路召回数量、供给召回覆盖率;</w:t>
      </w:r>
    </w:p>
    <w:p w14:paraId="54A72664">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-排序层看:排序截断数量占比、ASN;</w:t>
      </w:r>
    </w:p>
    <w:p w14:paraId="4CBE5DD9">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-行为层看:曝光pv、点击pv、CTR;</w:t>
      </w:r>
    </w:p>
    <w:p w14:paraId="52553300">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-转化层看:提单量、下单量、CVR、CXR;</w:t>
      </w:r>
    </w:p>
    <w:p w14:paraId="5CE7A9B1">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-业务层看:GMV+投诉率/差评率等风险指标。</w:t>
      </w:r>
    </w:p>
    <w:p w14:paraId="2DEF462C">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p>
    <w:p w14:paraId="06B085C7">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3</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宋体"/>
          <w:b/>
          <w:bCs/>
          <w:i w:val="0"/>
          <w:iCs w:val="0"/>
          <w:color w:val="000000"/>
          <w:spacing w:val="0"/>
          <w:w w:val="100"/>
          <w:sz w:val="36"/>
          <w:szCs w:val="36"/>
          <w:vertAlign w:val="baseline"/>
          <w:lang w:val="en-US" w:eastAsia="zh-CN"/>
        </w:rPr>
        <w:t>项目背景</w:t>
      </w:r>
    </w:p>
    <w:p w14:paraId="47507A8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1、搜索已经从“能搜到”升级为“要搜得放心”</w:t>
      </w:r>
    </w:p>
    <w:p w14:paraId="0B8D701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外卖搜/频道搜已经覆盖了外卖+医药等核心业务场景，用户在这里完成两类决策：</w:t>
      </w:r>
    </w:p>
    <w:p w14:paraId="7E22328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找店：哪家商家更靠谱、发货快、评价好；</w:t>
      </w:r>
    </w:p>
    <w:p w14:paraId="57AC3C7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找货：哪一个商品更权威、功效更匹配、信息不夸大。</w:t>
      </w:r>
    </w:p>
    <w:p w14:paraId="0F53461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早期阶段，平台的首要目标是“把供给铺满、让用户搜到东西”，更多关注整体GMV、搜索渗透率。随着业务进入中后期，搜索问题发生了转变：</w:t>
      </w:r>
    </w:p>
    <w:p w14:paraId="6FCC92E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用户不再满足于“有结果”，而是开始关心“这家店+这件货到底靠不靠谱”。</w:t>
      </w:r>
    </w:p>
    <w:p w14:paraId="186EE7D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特别是在医药&amp;成人用品等敏感场景，错误或混淆的“店+货”组合会明显放大用户不信任感，直接影响复购和口碑。</w:t>
      </w:r>
    </w:p>
    <w:p w14:paraId="5B7B6B7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3162A5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2、商品风险+商家风险叠加，对平台提出更高“流量治理”诉求</w:t>
      </w:r>
    </w:p>
    <w:p w14:paraId="7C73D71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在实际业务中，平台已经能看到两层风险：</w:t>
      </w:r>
    </w:p>
    <w:p w14:paraId="042B0DF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（1）商品侧：混淆品、信息违规、相似品牌、负反馈商品等，会在搜索页抢占正品和权威供给的位置；</w:t>
      </w:r>
    </w:p>
    <w:p w14:paraId="713EB57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（2）商家侧：服务分低、履约差、投诉高、资质有问题的门店，即便单个商品不违规则，整体体验也常常翻车。</w:t>
      </w:r>
    </w:p>
    <w:p w14:paraId="551CEBA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这两类问题叠加带来几种平台级痛点：</w:t>
      </w:r>
    </w:p>
    <w:p w14:paraId="7095C03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用户体验：搜索结果页看起来“货很多”，但权威度、可信度不足，用户需要反复筛选，比价、看评论；</w:t>
      </w:r>
    </w:p>
    <w:p w14:paraId="1F97131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复购与口碑：一次糟糕的购药或点餐体验往往直接影响用户是否继续使用该业务线；</w:t>
      </w:r>
    </w:p>
    <w:p w14:paraId="6BD42C7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合规与风险：在医药、健康相关场景，信息混淆、虚假宣传、资质问题会带来更高的监管风险。</w:t>
      </w:r>
    </w:p>
    <w:p w14:paraId="37365B1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746F31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因此,平台需要一套同时覆盖“商品”和“商家”的搜索流量治理能力,但考虑建设成本和系统演进节奏,只能分期推进:</w:t>
      </w:r>
    </w:p>
    <w:p w14:paraId="2142568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一期：先打通商品维度治理能力，解决最突出的“问题货站在C位”的问题;</w:t>
      </w:r>
    </w:p>
    <w:p w14:paraId="7336E84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二期：在一期协议和能力之上，补齐门店维度治理能力，把“问题店”的问题补上。</w:t>
      </w:r>
    </w:p>
    <w:p w14:paraId="64540D04">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color w:val="0000FF"/>
          <w:sz w:val="24"/>
          <w:lang w:val="en-US" w:eastAsia="zh-CN"/>
        </w:rPr>
      </w:pPr>
      <w:r>
        <w:rPr>
          <w:rFonts w:hint="eastAsia" w:ascii="Calibri" w:hAnsi="Calibri" w:eastAsia="宋体"/>
          <w:color w:val="0000FF"/>
          <w:sz w:val="24"/>
          <w:lang w:val="en-US" w:eastAsia="zh-CN"/>
        </w:rPr>
        <w:t>思考：为什么要分期推进？</w:t>
      </w:r>
    </w:p>
    <w:p w14:paraId="7227B21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AF7F80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3.2 如何发现问题？</w:t>
      </w:r>
    </w:p>
    <w:p w14:paraId="5E03BFFB">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3.2.1 业务调研</w:t>
      </w:r>
    </w:p>
    <w:tbl>
      <w:tblPr>
        <w:tblStyle w:val="5"/>
        <w:tblW w:w="9586"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74"/>
        <w:gridCol w:w="3357"/>
        <w:gridCol w:w="1694"/>
        <w:gridCol w:w="1888"/>
        <w:gridCol w:w="1173"/>
      </w:tblGrid>
      <w:tr w14:paraId="117E2691">
        <w:trPr>
          <w:trHeight w:val="1037" w:hRule="atLeast"/>
        </w:trPr>
        <w:tc>
          <w:tcPr>
            <w:tcW w:w="1474"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4E9796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问题归类</w:t>
            </w:r>
          </w:p>
        </w:tc>
        <w:tc>
          <w:tcPr>
            <w:tcW w:w="3357"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22E8A7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典型badcase（query→现象）</w:t>
            </w:r>
          </w:p>
        </w:tc>
        <w:tc>
          <w:tcPr>
            <w:tcW w:w="1694"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0E3932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主要风险</w:t>
            </w:r>
          </w:p>
        </w:tc>
        <w:tc>
          <w:tcPr>
            <w:tcW w:w="1888"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409637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业务期望动作</w:t>
            </w:r>
          </w:p>
        </w:tc>
        <w:tc>
          <w:tcPr>
            <w:tcW w:w="1173"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17DAAD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优先级</w:t>
            </w:r>
          </w:p>
        </w:tc>
      </w:tr>
      <w:tr w14:paraId="357AD1C1">
        <w:trPr>
          <w:trHeight w:val="1652" w:hRule="atLeast"/>
        </w:trPr>
        <w:tc>
          <w:tcPr>
            <w:tcW w:w="1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DEE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商品风险：品牌词混淆品</w:t>
            </w:r>
          </w:p>
        </w:tc>
        <w:tc>
          <w:tcPr>
            <w:tcW w:w="33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A25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999感冒灵→Top3出现“同款、包装近似”，正品被挤出Top5</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92D9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误购、信任下降</w:t>
            </w:r>
          </w:p>
        </w:tc>
        <w:tc>
          <w:tcPr>
            <w:tcW w:w="18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9865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TopN禁入＋强降权</w:t>
            </w:r>
          </w:p>
        </w:tc>
        <w:tc>
          <w:tcPr>
            <w:tcW w:w="1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771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高</w:t>
            </w:r>
          </w:p>
        </w:tc>
      </w:tr>
      <w:tr w14:paraId="32C2DD9E">
        <w:trPr>
          <w:trHeight w:val="1496" w:hRule="atLeast"/>
        </w:trPr>
        <w:tc>
          <w:tcPr>
            <w:tcW w:w="1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264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商品风险：近似品牌擦边</w:t>
            </w:r>
          </w:p>
        </w:tc>
        <w:tc>
          <w:tcPr>
            <w:tcW w:w="33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8B93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杜蕾斯避孕套→Top3出现“杜雷斯、都蕾斯”等近似命名</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4B8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误购、投诉上升</w:t>
            </w:r>
          </w:p>
        </w:tc>
        <w:tc>
          <w:tcPr>
            <w:tcW w:w="18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D43D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TopN禁入＋降权</w:t>
            </w:r>
          </w:p>
        </w:tc>
        <w:tc>
          <w:tcPr>
            <w:tcW w:w="1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E7D8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高</w:t>
            </w:r>
          </w:p>
        </w:tc>
      </w:tr>
      <w:tr w14:paraId="450D8385">
        <w:trPr>
          <w:trHeight w:val="1309" w:hRule="atLeast"/>
        </w:trPr>
        <w:tc>
          <w:tcPr>
            <w:tcW w:w="1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0F1C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商品风险：夸大宣传</w:t>
            </w:r>
          </w:p>
        </w:tc>
        <w:tc>
          <w:tcPr>
            <w:tcW w:w="33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3AAE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胃疼怎么办→Top结果出现“秒好、根治”等夸大卖点</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D23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合规风险、舆情风险</w:t>
            </w:r>
          </w:p>
        </w:tc>
        <w:tc>
          <w:tcPr>
            <w:tcW w:w="18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C2AD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过滤＋拦截（高危）</w:t>
            </w:r>
          </w:p>
        </w:tc>
        <w:tc>
          <w:tcPr>
            <w:tcW w:w="1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DD2D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高</w:t>
            </w:r>
          </w:p>
        </w:tc>
      </w:tr>
      <w:tr w14:paraId="055A82E9">
        <w:trPr>
          <w:trHeight w:val="1888" w:hRule="atLeast"/>
        </w:trPr>
        <w:tc>
          <w:tcPr>
            <w:tcW w:w="1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E98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商品风险：不对症</w:t>
            </w:r>
          </w:p>
        </w:tc>
        <w:tc>
          <w:tcPr>
            <w:tcW w:w="33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F63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儿童退烧药→Top结果出现成人剂量或儿童禁用提示不明显商品</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94B4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用药风险、差评</w:t>
            </w:r>
          </w:p>
        </w:tc>
        <w:tc>
          <w:tcPr>
            <w:tcW w:w="18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CFA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降权＋提示</w:t>
            </w:r>
          </w:p>
        </w:tc>
        <w:tc>
          <w:tcPr>
            <w:tcW w:w="1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3FF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高</w:t>
            </w:r>
          </w:p>
        </w:tc>
      </w:tr>
      <w:tr w14:paraId="0F8B0B39">
        <w:trPr>
          <w:trHeight w:val="1952" w:hRule="atLeast"/>
        </w:trPr>
        <w:tc>
          <w:tcPr>
            <w:tcW w:w="1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5EB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商品风险：负反馈高仍排前</w:t>
            </w:r>
          </w:p>
        </w:tc>
        <w:tc>
          <w:tcPr>
            <w:tcW w:w="33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C1E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止痛贴→Top结果高退货高差评商品仍在Top10</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3B2C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体验翻车、复购下降</w:t>
            </w:r>
          </w:p>
        </w:tc>
        <w:tc>
          <w:tcPr>
            <w:tcW w:w="18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44F7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降权＋TopN配额</w:t>
            </w:r>
          </w:p>
        </w:tc>
        <w:tc>
          <w:tcPr>
            <w:tcW w:w="1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F1C2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中</w:t>
            </w:r>
          </w:p>
        </w:tc>
      </w:tr>
      <w:tr w14:paraId="0240D0B9">
        <w:trPr>
          <w:trHeight w:val="1840" w:hRule="atLeast"/>
        </w:trPr>
        <w:tc>
          <w:tcPr>
            <w:tcW w:w="1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20F4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商家风险：低服务分门店排前</w:t>
            </w:r>
          </w:p>
        </w:tc>
        <w:tc>
          <w:tcPr>
            <w:tcW w:w="33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FB95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附近药店→服务分低门店进Top3，缺货取消率高</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793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履约翻车、投诉</w:t>
            </w:r>
          </w:p>
        </w:tc>
        <w:tc>
          <w:tcPr>
            <w:tcW w:w="18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F07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降权＋TopN禁入</w:t>
            </w:r>
          </w:p>
        </w:tc>
        <w:tc>
          <w:tcPr>
            <w:tcW w:w="1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7534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高</w:t>
            </w:r>
          </w:p>
        </w:tc>
      </w:tr>
      <w:tr w14:paraId="45BD7ED6">
        <w:trPr>
          <w:trHeight w:val="1680" w:hRule="atLeast"/>
        </w:trPr>
        <w:tc>
          <w:tcPr>
            <w:tcW w:w="1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255D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商家风险：高投诉门店曝光不受控</w:t>
            </w:r>
          </w:p>
        </w:tc>
        <w:tc>
          <w:tcPr>
            <w:tcW w:w="33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FC25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24小时药店→投诉高门店仍高曝光</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D2F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口碑受损</w:t>
            </w:r>
          </w:p>
        </w:tc>
        <w:tc>
          <w:tcPr>
            <w:tcW w:w="18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099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降权＋配额</w:t>
            </w:r>
          </w:p>
        </w:tc>
        <w:tc>
          <w:tcPr>
            <w:tcW w:w="1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EEE8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中</w:t>
            </w:r>
          </w:p>
        </w:tc>
      </w:tr>
      <w:tr w14:paraId="4E91158E">
        <w:trPr>
          <w:trHeight w:val="2020" w:hRule="atLeast"/>
        </w:trPr>
        <w:tc>
          <w:tcPr>
            <w:tcW w:w="1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143D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叠加风险：好店里问题货排前</w:t>
            </w:r>
          </w:p>
        </w:tc>
        <w:tc>
          <w:tcPr>
            <w:tcW w:w="33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07F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品牌词→资质齐全门店内混淆品排前</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22AF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信任崩塌</w:t>
            </w:r>
          </w:p>
        </w:tc>
        <w:tc>
          <w:tcPr>
            <w:tcW w:w="18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A34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商品侧强治理＋门店侧轻约束</w:t>
            </w:r>
          </w:p>
        </w:tc>
        <w:tc>
          <w:tcPr>
            <w:tcW w:w="1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136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中</w:t>
            </w:r>
          </w:p>
        </w:tc>
      </w:tr>
      <w:tr w14:paraId="3EBD4DD7">
        <w:trPr>
          <w:trHeight w:val="1975" w:hRule="atLeast"/>
        </w:trPr>
        <w:tc>
          <w:tcPr>
            <w:tcW w:w="1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54EC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合规风险：资质链路不清晰</w:t>
            </w:r>
          </w:p>
        </w:tc>
        <w:tc>
          <w:tcPr>
            <w:tcW w:w="33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7050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处方药相关→结果页资质展示弱，用户咨询体验差</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08DB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监管风险</w:t>
            </w:r>
          </w:p>
        </w:tc>
        <w:tc>
          <w:tcPr>
            <w:tcW w:w="18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CBF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提示强化＋高危拦截</w:t>
            </w:r>
          </w:p>
        </w:tc>
        <w:tc>
          <w:tcPr>
            <w:tcW w:w="1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21BB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中</w:t>
            </w:r>
          </w:p>
        </w:tc>
      </w:tr>
    </w:tbl>
    <w:p w14:paraId="0AC18E4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val="0"/>
          <w:iCs w:val="0"/>
          <w:sz w:val="24"/>
          <w:lang w:val="en-US" w:eastAsia="zh-CN"/>
        </w:rPr>
      </w:pPr>
    </w:p>
    <w:p w14:paraId="7C9E641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val="0"/>
          <w:iCs w:val="0"/>
          <w:sz w:val="24"/>
          <w:lang w:val="en-US" w:eastAsia="zh-CN"/>
        </w:rPr>
      </w:pPr>
    </w:p>
    <w:p w14:paraId="692BB044">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3.2.2 数据分析（现状分析）</w:t>
      </w:r>
    </w:p>
    <w:p w14:paraId="36F8D92E">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1、规模与渗透</w:t>
      </w:r>
    </w:p>
    <w:tbl>
      <w:tblPr>
        <w:tblStyle w:val="5"/>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61"/>
        <w:gridCol w:w="1814"/>
        <w:gridCol w:w="1814"/>
        <w:gridCol w:w="1814"/>
        <w:gridCol w:w="1814"/>
      </w:tblGrid>
      <w:tr w14:paraId="1D4E753A">
        <w:trPr>
          <w:trHeight w:val="680" w:hRule="atLeast"/>
        </w:trPr>
        <w:tc>
          <w:tcPr>
            <w:tcW w:w="740"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405C71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数据指标</w:t>
            </w:r>
          </w:p>
        </w:tc>
        <w:tc>
          <w:tcPr>
            <w:tcW w:w="106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4D2BA3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外卖搜商家流</w:t>
            </w:r>
          </w:p>
        </w:tc>
        <w:tc>
          <w:tcPr>
            <w:tcW w:w="106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79EB82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外卖搜商品流</w:t>
            </w:r>
          </w:p>
        </w:tc>
        <w:tc>
          <w:tcPr>
            <w:tcW w:w="106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581E48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频道搜商品流</w:t>
            </w:r>
          </w:p>
        </w:tc>
        <w:tc>
          <w:tcPr>
            <w:tcW w:w="106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0BC30D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合计</w:t>
            </w:r>
          </w:p>
        </w:tc>
      </w:tr>
      <w:tr w14:paraId="47D0419A">
        <w:trPr>
          <w:trHeight w:val="680"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8EE7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请求量</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C674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463.22万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6254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642.98万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A3C9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209.74万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B968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1315.94万</w:t>
            </w:r>
          </w:p>
        </w:tc>
      </w:tr>
      <w:tr w14:paraId="2151F2CC">
        <w:trPr>
          <w:trHeight w:val="340"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C962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搜索uv</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EE64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138.40万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0F33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182.77万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58B4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62.49万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7575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310.26万</w:t>
            </w:r>
          </w:p>
        </w:tc>
      </w:tr>
      <w:tr w14:paraId="6BD0E9F3">
        <w:trPr>
          <w:trHeight w:val="680"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A25E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曝光pv</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B4EA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2869.54万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473D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5134.68万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36FE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1689.05万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4BF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9693.27万</w:t>
            </w:r>
          </w:p>
        </w:tc>
      </w:tr>
      <w:tr w14:paraId="2289C040">
        <w:trPr>
          <w:trHeight w:val="340"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C083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曝光uv</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BDAB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121.88万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E0A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158.94万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FCBA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58.12万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304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289.47万</w:t>
            </w:r>
          </w:p>
        </w:tc>
      </w:tr>
      <w:tr w14:paraId="4190CC4F">
        <w:trPr>
          <w:trHeight w:val="340"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5A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点击pv</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391F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171.98万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4C0A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219.48万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5E88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94.14万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3283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485.60万</w:t>
            </w:r>
          </w:p>
        </w:tc>
      </w:tr>
      <w:tr w14:paraId="768BF698">
        <w:trPr>
          <w:trHeight w:val="340"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8115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下单量</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749A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5.17万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7A16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14.26万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9EDC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8.06万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6358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27.50万</w:t>
            </w:r>
          </w:p>
        </w:tc>
      </w:tr>
      <w:tr w14:paraId="2A9E2897">
        <w:trPr>
          <w:trHeight w:val="680"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FCB1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GMV</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A2F3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1289.37万元</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8A01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2786.05万元</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7E41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1941.18万元</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65B2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6016.60万元</w:t>
            </w:r>
          </w:p>
        </w:tc>
      </w:tr>
      <w:tr w14:paraId="6C0F5749">
        <w:trPr>
          <w:trHeight w:val="340"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7B03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渗透率</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5D44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18.70%</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A3E2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24.70%</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FE86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8.44%</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F06A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41.93%</w:t>
            </w:r>
          </w:p>
        </w:tc>
      </w:tr>
      <w:tr w14:paraId="22153CBB">
        <w:trPr>
          <w:trHeight w:val="340"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F174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ASN</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60B5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6.19</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FAE3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7.99</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A9CA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8.05</w:t>
            </w:r>
          </w:p>
        </w:tc>
        <w:tc>
          <w:tcPr>
            <w:tcW w:w="10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A4A3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7.37</w:t>
            </w:r>
          </w:p>
        </w:tc>
      </w:tr>
    </w:tbl>
    <w:p w14:paraId="524B4C1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-渗透率=搜索uv/医药业务DAU：代表有多少用户把“搜索”当作购药入口。</w:t>
      </w:r>
    </w:p>
    <w:p w14:paraId="69D41C7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37C252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外卖搜商品流是主战场：请求量、曝光pv、下单量都最大，治理收益与风险都最大，最适合先做小流量灰度。</w:t>
      </w:r>
    </w:p>
    <w:p w14:paraId="5996AE1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频道搜GMV占比不低但规模更“精”：渗透率低但转化通常更高，治理要更精准，优先打“高确定性风险”。</w:t>
      </w:r>
    </w:p>
    <w:p w14:paraId="43AF92F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ASN整体健康（7.37）：说明大盘并非“没结果”，治理要解决的不是“能不能搜到”，而是“给谁排前、谁不该排前”。</w:t>
      </w:r>
    </w:p>
    <w:p w14:paraId="3464939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8AF573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EEC84E1">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2、流量转化效率</w:t>
      </w:r>
    </w:p>
    <w:tbl>
      <w:tblPr>
        <w:tblStyle w:val="5"/>
        <w:tblW w:w="552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99"/>
        <w:gridCol w:w="1704"/>
        <w:gridCol w:w="1704"/>
        <w:gridCol w:w="1704"/>
        <w:gridCol w:w="1706"/>
      </w:tblGrid>
      <w:tr w14:paraId="68CEB32B">
        <w:trPr>
          <w:trHeight w:val="680" w:hRule="atLeast"/>
        </w:trPr>
        <w:tc>
          <w:tcPr>
            <w:tcW w:w="1379"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0F1C86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数据指标</w:t>
            </w:r>
          </w:p>
        </w:tc>
        <w:tc>
          <w:tcPr>
            <w:tcW w:w="90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010F6F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外卖搜商家流</w:t>
            </w:r>
          </w:p>
        </w:tc>
        <w:tc>
          <w:tcPr>
            <w:tcW w:w="90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56BB92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外卖搜商品流</w:t>
            </w:r>
          </w:p>
        </w:tc>
        <w:tc>
          <w:tcPr>
            <w:tcW w:w="90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68722F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频道搜商品流</w:t>
            </w:r>
          </w:p>
        </w:tc>
        <w:tc>
          <w:tcPr>
            <w:tcW w:w="905"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0EA655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合计</w:t>
            </w:r>
          </w:p>
        </w:tc>
      </w:tr>
      <w:tr w14:paraId="3957990B">
        <w:trPr>
          <w:trHeight w:val="340" w:hRule="atLeast"/>
        </w:trPr>
        <w:tc>
          <w:tcPr>
            <w:tcW w:w="1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B6EC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CTR</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E0B0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5.99%</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5443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4.27%</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393E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5.57%</w:t>
            </w:r>
          </w:p>
        </w:tc>
        <w:tc>
          <w:tcPr>
            <w:tcW w:w="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6FAC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5.01%</w:t>
            </w:r>
          </w:p>
        </w:tc>
      </w:tr>
      <w:tr w14:paraId="3856D345">
        <w:trPr>
          <w:trHeight w:val="340" w:hRule="atLeast"/>
        </w:trPr>
        <w:tc>
          <w:tcPr>
            <w:tcW w:w="1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5281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CVR</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41D2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3.01%</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1D3C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6.50%</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618C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8.56%</w:t>
            </w:r>
          </w:p>
        </w:tc>
        <w:tc>
          <w:tcPr>
            <w:tcW w:w="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4C88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5.66%</w:t>
            </w:r>
          </w:p>
        </w:tc>
      </w:tr>
      <w:tr w14:paraId="66319599">
        <w:trPr>
          <w:trHeight w:val="340" w:hRule="atLeast"/>
        </w:trPr>
        <w:tc>
          <w:tcPr>
            <w:tcW w:w="1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62C4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CXR</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BFAE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0.18%</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737F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0.28%</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2CBB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0.48%</w:t>
            </w:r>
          </w:p>
        </w:tc>
        <w:tc>
          <w:tcPr>
            <w:tcW w:w="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1CA2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0.28%</w:t>
            </w:r>
          </w:p>
        </w:tc>
      </w:tr>
      <w:tr w14:paraId="2F4B601C">
        <w:trPr>
          <w:trHeight w:val="439" w:hRule="atLeast"/>
        </w:trPr>
        <w:tc>
          <w:tcPr>
            <w:tcW w:w="1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34C8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AOV（元/单）</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20EF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249</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FB22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195</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E420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241</w:t>
            </w:r>
          </w:p>
        </w:tc>
        <w:tc>
          <w:tcPr>
            <w:tcW w:w="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32D1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219</w:t>
            </w:r>
          </w:p>
        </w:tc>
      </w:tr>
      <w:tr w14:paraId="4F8480E8">
        <w:trPr>
          <w:trHeight w:val="90" w:hRule="atLeast"/>
        </w:trPr>
        <w:tc>
          <w:tcPr>
            <w:tcW w:w="1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3ADC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每单曝光pv（次/单）</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9E35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555</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43AC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360</w:t>
            </w:r>
          </w:p>
        </w:tc>
        <w:tc>
          <w:tcPr>
            <w:tcW w:w="9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7BA9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209</w:t>
            </w:r>
          </w:p>
        </w:tc>
        <w:tc>
          <w:tcPr>
            <w:tcW w:w="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7DC2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353</w:t>
            </w:r>
          </w:p>
        </w:tc>
      </w:tr>
    </w:tbl>
    <w:p w14:paraId="7F645EA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9C6F14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外卖搜商家流“能吸引点击但不一定能成交”（CTR不低、CVR偏低）：更像门店履约、缺货取消、服务分等商家侧问题；这就是为什么需要poi_id维度治理来管“问题店”。</w:t>
      </w:r>
    </w:p>
    <w:p w14:paraId="4EB5366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频道搜CXR最高：高意图场景，治理必须“少而准”，否则GMV波动会更明显。</w:t>
      </w:r>
    </w:p>
    <w:p w14:paraId="2F1FCC6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外卖搜商品流每单曝光消耗更高：说明存在一部分“抢曝光但不成交”的供给，正对应混淆品、擦边品、负反馈高仍排前等商品风险。</w:t>
      </w:r>
    </w:p>
    <w:p w14:paraId="1CAD42F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0A6906E">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3、风险层</w:t>
      </w:r>
    </w:p>
    <w:tbl>
      <w:tblPr>
        <w:tblStyle w:val="5"/>
        <w:tblW w:w="523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57"/>
        <w:gridCol w:w="1663"/>
        <w:gridCol w:w="1968"/>
        <w:gridCol w:w="1827"/>
        <w:gridCol w:w="1602"/>
      </w:tblGrid>
      <w:tr w14:paraId="5FC0282A">
        <w:trPr>
          <w:trHeight w:val="680" w:hRule="atLeast"/>
        </w:trPr>
        <w:tc>
          <w:tcPr>
            <w:tcW w:w="1041"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2D8C76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数据指标</w:t>
            </w:r>
          </w:p>
        </w:tc>
        <w:tc>
          <w:tcPr>
            <w:tcW w:w="932"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53CA0A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外卖搜商家流</w:t>
            </w:r>
          </w:p>
        </w:tc>
        <w:tc>
          <w:tcPr>
            <w:tcW w:w="1103"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59AEB7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外卖搜商品流</w:t>
            </w:r>
          </w:p>
        </w:tc>
        <w:tc>
          <w:tcPr>
            <w:tcW w:w="102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0C2071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频道搜商品流</w:t>
            </w:r>
          </w:p>
        </w:tc>
        <w:tc>
          <w:tcPr>
            <w:tcW w:w="898"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453D8D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合计</w:t>
            </w:r>
          </w:p>
        </w:tc>
      </w:tr>
      <w:tr w14:paraId="38133242">
        <w:trPr>
          <w:trHeight w:val="680" w:hRule="atLeast"/>
        </w:trPr>
        <w:tc>
          <w:tcPr>
            <w:tcW w:w="10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E9DA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风险曝光pv</w:t>
            </w:r>
          </w:p>
        </w:tc>
        <w:tc>
          <w:tcPr>
            <w:tcW w:w="9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9C5E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195.13万</w:t>
            </w:r>
          </w:p>
        </w:tc>
        <w:tc>
          <w:tcPr>
            <w:tcW w:w="11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A4C5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421.04万</w:t>
            </w:r>
          </w:p>
        </w:tc>
        <w:tc>
          <w:tcPr>
            <w:tcW w:w="102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6412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124.99万</w:t>
            </w:r>
          </w:p>
        </w:tc>
        <w:tc>
          <w:tcPr>
            <w:tcW w:w="8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B98F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741.16万</w:t>
            </w:r>
          </w:p>
        </w:tc>
      </w:tr>
      <w:tr w14:paraId="405B4C3A">
        <w:trPr>
          <w:trHeight w:val="680" w:hRule="atLeast"/>
        </w:trPr>
        <w:tc>
          <w:tcPr>
            <w:tcW w:w="10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D0F1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风险曝光占比</w:t>
            </w:r>
          </w:p>
        </w:tc>
        <w:tc>
          <w:tcPr>
            <w:tcW w:w="9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0E62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6.80%</w:t>
            </w:r>
          </w:p>
        </w:tc>
        <w:tc>
          <w:tcPr>
            <w:tcW w:w="11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E7CC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8.20%</w:t>
            </w:r>
          </w:p>
        </w:tc>
        <w:tc>
          <w:tcPr>
            <w:tcW w:w="102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D6B6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7.40%</w:t>
            </w:r>
          </w:p>
        </w:tc>
        <w:tc>
          <w:tcPr>
            <w:tcW w:w="8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E7D3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7.65%</w:t>
            </w:r>
          </w:p>
        </w:tc>
      </w:tr>
      <w:tr w14:paraId="62A53572">
        <w:trPr>
          <w:trHeight w:val="680" w:hRule="atLeast"/>
        </w:trPr>
        <w:tc>
          <w:tcPr>
            <w:tcW w:w="10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0882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风险点击占比</w:t>
            </w:r>
          </w:p>
        </w:tc>
        <w:tc>
          <w:tcPr>
            <w:tcW w:w="9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275B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8.20%</w:t>
            </w:r>
          </w:p>
        </w:tc>
        <w:tc>
          <w:tcPr>
            <w:tcW w:w="11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5824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10.80%</w:t>
            </w:r>
          </w:p>
        </w:tc>
        <w:tc>
          <w:tcPr>
            <w:tcW w:w="102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22B3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8.60%</w:t>
            </w:r>
          </w:p>
        </w:tc>
        <w:tc>
          <w:tcPr>
            <w:tcW w:w="8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C171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9.45%</w:t>
            </w:r>
          </w:p>
        </w:tc>
      </w:tr>
      <w:tr w14:paraId="461FE415">
        <w:trPr>
          <w:trHeight w:val="680" w:hRule="atLeast"/>
        </w:trPr>
        <w:tc>
          <w:tcPr>
            <w:tcW w:w="10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C9A1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风险订单占比</w:t>
            </w:r>
          </w:p>
        </w:tc>
        <w:tc>
          <w:tcPr>
            <w:tcW w:w="9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6D9D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3.00%</w:t>
            </w:r>
          </w:p>
        </w:tc>
        <w:tc>
          <w:tcPr>
            <w:tcW w:w="11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5E04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9.00%</w:t>
            </w:r>
          </w:p>
        </w:tc>
        <w:tc>
          <w:tcPr>
            <w:tcW w:w="102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BAEF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7.50%</w:t>
            </w:r>
          </w:p>
        </w:tc>
        <w:tc>
          <w:tcPr>
            <w:tcW w:w="8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4BB9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7.43%</w:t>
            </w:r>
          </w:p>
        </w:tc>
      </w:tr>
      <w:tr w14:paraId="52B4386F">
        <w:trPr>
          <w:trHeight w:val="340" w:hRule="atLeast"/>
        </w:trPr>
        <w:tc>
          <w:tcPr>
            <w:tcW w:w="10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083A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投诉率</w:t>
            </w:r>
          </w:p>
        </w:tc>
        <w:tc>
          <w:tcPr>
            <w:tcW w:w="9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7045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0.78%</w:t>
            </w:r>
          </w:p>
        </w:tc>
        <w:tc>
          <w:tcPr>
            <w:tcW w:w="11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6FDC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0.44%</w:t>
            </w:r>
          </w:p>
        </w:tc>
        <w:tc>
          <w:tcPr>
            <w:tcW w:w="102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FD8E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0.39%</w:t>
            </w:r>
          </w:p>
        </w:tc>
        <w:tc>
          <w:tcPr>
            <w:tcW w:w="8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31F0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0.53%</w:t>
            </w:r>
          </w:p>
        </w:tc>
      </w:tr>
      <w:tr w14:paraId="40803C31">
        <w:trPr>
          <w:trHeight w:val="340" w:hRule="atLeast"/>
        </w:trPr>
        <w:tc>
          <w:tcPr>
            <w:tcW w:w="10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3D11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差评率</w:t>
            </w:r>
          </w:p>
        </w:tc>
        <w:tc>
          <w:tcPr>
            <w:tcW w:w="9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C2AE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1.34%</w:t>
            </w:r>
          </w:p>
        </w:tc>
        <w:tc>
          <w:tcPr>
            <w:tcW w:w="11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6821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0.97%</w:t>
            </w:r>
          </w:p>
        </w:tc>
        <w:tc>
          <w:tcPr>
            <w:tcW w:w="102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C3E1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0.82%</w:t>
            </w:r>
          </w:p>
        </w:tc>
        <w:tc>
          <w:tcPr>
            <w:tcW w:w="8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1B52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1.05%</w:t>
            </w:r>
          </w:p>
        </w:tc>
      </w:tr>
    </w:tbl>
    <w:p w14:paraId="442DD1C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4AAF2B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风险点击占比普遍高于风险曝光占比：说明风险供给不仅被看见，还更“会抢点击”，对权威供给的挤压是真实存在的。</w:t>
      </w:r>
    </w:p>
    <w:p w14:paraId="46216A8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外卖搜商家流投诉率、差评率更高：典型是“问题店”带来的履约翻车与服务体验差，单靠商品治理兜不住。</w:t>
      </w:r>
    </w:p>
    <w:p w14:paraId="765D192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外卖搜商品流风险订单占比高：说明风险供给已经在“吃成交”，治理要做，但要配合灰度与兜底，避免短期GMV波动。</w:t>
      </w:r>
    </w:p>
    <w:p w14:paraId="4B72473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5C30ABE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4、能力缺口</w:t>
      </w:r>
    </w:p>
    <w:tbl>
      <w:tblPr>
        <w:tblStyle w:val="5"/>
        <w:tblW w:w="5483" w:type="pct"/>
        <w:tblInd w:w="-82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28"/>
        <w:gridCol w:w="1703"/>
        <w:gridCol w:w="1704"/>
        <w:gridCol w:w="1704"/>
        <w:gridCol w:w="1706"/>
      </w:tblGrid>
      <w:tr w14:paraId="6D126A9C">
        <w:trPr>
          <w:trHeight w:val="680" w:hRule="atLeast"/>
        </w:trPr>
        <w:tc>
          <w:tcPr>
            <w:tcW w:w="1352"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62A13F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数据指标</w:t>
            </w:r>
          </w:p>
        </w:tc>
        <w:tc>
          <w:tcPr>
            <w:tcW w:w="911"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65F5BD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外卖搜商家流</w:t>
            </w:r>
          </w:p>
        </w:tc>
        <w:tc>
          <w:tcPr>
            <w:tcW w:w="911"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36155F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外卖搜商品流</w:t>
            </w:r>
          </w:p>
        </w:tc>
        <w:tc>
          <w:tcPr>
            <w:tcW w:w="911"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515406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频道搜商品流</w:t>
            </w:r>
          </w:p>
        </w:tc>
        <w:tc>
          <w:tcPr>
            <w:tcW w:w="912"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052091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合计</w:t>
            </w:r>
          </w:p>
        </w:tc>
      </w:tr>
      <w:tr w14:paraId="74CA6C20">
        <w:trPr>
          <w:trHeight w:val="680" w:hRule="atLeast"/>
        </w:trPr>
        <w:tc>
          <w:tcPr>
            <w:tcW w:w="1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CA98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风险曝光pv</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4966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195.13万</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C033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421.04万</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42F7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124.99万</w:t>
            </w:r>
          </w:p>
        </w:tc>
        <w:tc>
          <w:tcPr>
            <w:tcW w:w="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D62C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741.16万</w:t>
            </w:r>
          </w:p>
        </w:tc>
      </w:tr>
      <w:tr w14:paraId="11563C92">
        <w:trPr>
          <w:trHeight w:val="1020" w:hRule="atLeast"/>
        </w:trPr>
        <w:tc>
          <w:tcPr>
            <w:tcW w:w="1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C13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可由商品治理覆盖</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0D33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0.00万</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CEBE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340.20万</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CA40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105.00万</w:t>
            </w:r>
          </w:p>
        </w:tc>
        <w:tc>
          <w:tcPr>
            <w:tcW w:w="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1104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445.20万</w:t>
            </w:r>
          </w:p>
        </w:tc>
      </w:tr>
      <w:tr w14:paraId="3D186371">
        <w:trPr>
          <w:trHeight w:val="1020" w:hRule="atLeast"/>
        </w:trPr>
        <w:tc>
          <w:tcPr>
            <w:tcW w:w="1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813F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必须由门店治理覆盖</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C57F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195.13万</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CD1E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80.84万</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F097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19.99万</w:t>
            </w:r>
          </w:p>
        </w:tc>
        <w:tc>
          <w:tcPr>
            <w:tcW w:w="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3BAB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295.96万</w:t>
            </w:r>
          </w:p>
        </w:tc>
      </w:tr>
      <w:tr w14:paraId="374E9679">
        <w:trPr>
          <w:trHeight w:val="1020" w:hRule="atLeast"/>
        </w:trPr>
        <w:tc>
          <w:tcPr>
            <w:tcW w:w="1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2810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门店维度当前缺口</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174E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195.13万</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1E10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80.84万</w:t>
            </w:r>
          </w:p>
        </w:tc>
        <w:tc>
          <w:tcPr>
            <w:tcW w:w="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B1B9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19.99万</w:t>
            </w:r>
          </w:p>
        </w:tc>
        <w:tc>
          <w:tcPr>
            <w:tcW w:w="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3F1B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295.96万</w:t>
            </w:r>
          </w:p>
        </w:tc>
      </w:tr>
    </w:tbl>
    <w:p w14:paraId="4DD9BA2B">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p>
    <w:p w14:paraId="68D9888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66E091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50FFAE06">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4</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宋体"/>
          <w:b/>
          <w:bCs/>
          <w:i w:val="0"/>
          <w:iCs w:val="0"/>
          <w:color w:val="000000"/>
          <w:spacing w:val="0"/>
          <w:w w:val="100"/>
          <w:sz w:val="36"/>
          <w:szCs w:val="36"/>
          <w:vertAlign w:val="baseline"/>
          <w:lang w:val="en-US" w:eastAsia="zh-CN"/>
        </w:rPr>
        <w:t>项目目标</w:t>
      </w:r>
    </w:p>
    <w:p w14:paraId="14B34C2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eastAsia"/>
          <w:b/>
          <w:bCs/>
          <w:sz w:val="32"/>
          <w:szCs w:val="32"/>
          <w:lang w:val="en-US" w:eastAsia="zh-CN"/>
        </w:rPr>
      </w:pPr>
      <w:r>
        <w:rPr>
          <w:rFonts w:hint="eastAsia"/>
          <w:b/>
          <w:bCs/>
          <w:sz w:val="32"/>
          <w:szCs w:val="32"/>
          <w:lang w:val="en-US" w:eastAsia="zh-CN"/>
        </w:rPr>
        <w:t>4.1 指标分层</w:t>
      </w:r>
    </w:p>
    <w:p w14:paraId="5EE9A85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为了避免只盯一个数导致误伤，治理目标按四层定义（仅专注top20）：</w:t>
      </w:r>
    </w:p>
    <w:p w14:paraId="26B769D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1、北极星指标：</w:t>
      </w:r>
    </w:p>
    <w:p w14:paraId="2150FC0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CXR、负反馈（投诉率、差评率）。</w:t>
      </w:r>
    </w:p>
    <w:p w14:paraId="48F8529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2、结果指标：</w:t>
      </w:r>
    </w:p>
    <w:p w14:paraId="0A6E5A5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风险曝光占比、风险点击占比、风险订单占比、CXR、渗透率。</w:t>
      </w:r>
    </w:p>
    <w:p w14:paraId="504810F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3、护栏指标（不能变差或只能小幅波动）：</w:t>
      </w:r>
    </w:p>
    <w:p w14:paraId="63C1434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GMV、ASN、CTR。</w:t>
      </w:r>
    </w:p>
    <w:p w14:paraId="6AF6B2A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3、过程指标（保证策略能稳定执行）：</w:t>
      </w:r>
    </w:p>
    <w:p w14:paraId="17CC817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命中覆盖、时延、误伤率。</w:t>
      </w:r>
    </w:p>
    <w:p w14:paraId="603F243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FC5406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4.2 核心指标预估</w:t>
      </w:r>
    </w:p>
    <w:tbl>
      <w:tblPr>
        <w:tblStyle w:val="5"/>
        <w:tblW w:w="1175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80"/>
        <w:gridCol w:w="2031"/>
        <w:gridCol w:w="1836"/>
        <w:gridCol w:w="2419"/>
        <w:gridCol w:w="2092"/>
        <w:gridCol w:w="2092"/>
      </w:tblGrid>
      <w:tr w14:paraId="7CAD79F6">
        <w:trPr>
          <w:trHeight w:val="680" w:hRule="atLeast"/>
        </w:trPr>
        <w:tc>
          <w:tcPr>
            <w:tcW w:w="1280"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35DEB6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指标</w:t>
            </w:r>
          </w:p>
        </w:tc>
        <w:tc>
          <w:tcPr>
            <w:tcW w:w="2031"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6E13E0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外卖搜商家流</w:t>
            </w:r>
          </w:p>
        </w:tc>
        <w:tc>
          <w:tcPr>
            <w:tcW w:w="1836"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65FBF2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外卖搜商品流</w:t>
            </w:r>
          </w:p>
        </w:tc>
        <w:tc>
          <w:tcPr>
            <w:tcW w:w="2419"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713070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频道搜商品流</w:t>
            </w:r>
          </w:p>
        </w:tc>
        <w:tc>
          <w:tcPr>
            <w:tcW w:w="2092"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49BDF4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合计</w:t>
            </w:r>
          </w:p>
        </w:tc>
        <w:tc>
          <w:tcPr>
            <w:tcW w:w="2092"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584F41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vertAlign w:val="baseline"/>
                <w:lang w:val="en-US" w:eastAsia="zh-CN"/>
              </w:rPr>
            </w:pPr>
            <w:r>
              <w:rPr>
                <w:rFonts w:hint="eastAsia"/>
                <w:b/>
                <w:bCs/>
                <w:sz w:val="24"/>
                <w:szCs w:val="24"/>
                <w:vertAlign w:val="baseline"/>
                <w:lang w:val="en-US" w:eastAsia="zh-CN"/>
              </w:rPr>
              <w:t>备注</w:t>
            </w:r>
          </w:p>
        </w:tc>
      </w:tr>
      <w:tr w14:paraId="7623557A">
        <w:trPr>
          <w:trHeight w:val="1020" w:hRule="atLeast"/>
        </w:trPr>
        <w:tc>
          <w:tcPr>
            <w:tcW w:w="1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FC1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风险点击占比</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4BCA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6.20%（-2.00pp/-24.39%）</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ACD5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7.80%（-3.00pp/-27.78%）</w:t>
            </w:r>
          </w:p>
        </w:tc>
        <w:tc>
          <w:tcPr>
            <w:tcW w:w="24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9D9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6.50%（-2.10pp/-24.42%）</w:t>
            </w:r>
          </w:p>
        </w:tc>
        <w:tc>
          <w:tcPr>
            <w:tcW w:w="2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3387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6.90%（-2.55pp/-26.98%）</w:t>
            </w:r>
          </w:p>
        </w:tc>
        <w:tc>
          <w:tcPr>
            <w:tcW w:w="2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CE56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为什么是核心</w:t>
            </w:r>
          </w:p>
        </w:tc>
      </w:tr>
      <w:tr w14:paraId="7275E98A">
        <w:trPr>
          <w:trHeight w:val="1680" w:hRule="atLeast"/>
        </w:trPr>
        <w:tc>
          <w:tcPr>
            <w:tcW w:w="1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EAC0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CXR</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90B3B4">
            <w:pPr>
              <w:pStyle w:val="4"/>
              <w:keepNext w:val="0"/>
              <w:keepLines w:val="0"/>
              <w:widowControl/>
              <w:suppressLineNumbers w:val="0"/>
              <w:spacing w:before="0" w:beforeAutospacing="0" w:after="0" w:afterAutospacing="0" w:line="30" w:lineRule="atLeast"/>
              <w:ind w:left="0" w:right="0"/>
              <w:jc w:val="both"/>
            </w:pPr>
            <w:r>
              <w:rPr>
                <w:rFonts w:ascii="微软雅黑" w:hAnsi="微软雅黑" w:eastAsia="微软雅黑" w:cs="微软雅黑"/>
                <w:b w:val="0"/>
                <w:bCs w:val="0"/>
                <w:i w:val="0"/>
                <w:iCs w:val="0"/>
                <w:color w:val="000000"/>
                <w:spacing w:val="0"/>
                <w:w w:val="100"/>
                <w:sz w:val="24"/>
                <w:szCs w:val="24"/>
                <w:vertAlign w:val="baseline"/>
              </w:rPr>
              <w:t>6.20%</w:t>
            </w:r>
          </w:p>
          <w:p w14:paraId="0EB12B17">
            <w:pPr>
              <w:pStyle w:val="4"/>
              <w:keepNext w:val="0"/>
              <w:keepLines w:val="0"/>
              <w:widowControl/>
              <w:suppressLineNumbers w:val="0"/>
              <w:spacing w:before="0" w:beforeAutospacing="0" w:after="0" w:afterAutospacing="0" w:line="30" w:lineRule="atLeast"/>
              <w:ind w:left="0" w:leftChars="0" w:right="0" w:rightChars="0"/>
              <w:jc w:val="both"/>
              <w:rPr>
                <w:rFonts w:hint="eastAsia"/>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rPr>
              <w:t>（</w:t>
            </w:r>
            <w:r>
              <w:rPr>
                <w:rFonts w:hint="default" w:ascii="微软雅黑" w:hAnsi="微软雅黑" w:eastAsia="微软雅黑" w:cs="微软雅黑"/>
                <w:b w:val="0"/>
                <w:bCs w:val="0"/>
                <w:i w:val="0"/>
                <w:iCs w:val="0"/>
                <w:color w:val="000000"/>
                <w:spacing w:val="0"/>
                <w:w w:val="100"/>
                <w:sz w:val="24"/>
                <w:szCs w:val="24"/>
                <w:vertAlign w:val="baseline"/>
              </w:rPr>
              <w:t>-2.00pp</w:t>
            </w:r>
            <w:r>
              <w:rPr>
                <w:rFonts w:hint="eastAsia" w:ascii="宋体" w:hAnsi="宋体" w:eastAsia="宋体" w:cs="宋体"/>
                <w:b w:val="0"/>
                <w:bCs w:val="0"/>
                <w:i w:val="0"/>
                <w:iCs w:val="0"/>
                <w:color w:val="000000"/>
                <w:spacing w:val="0"/>
                <w:w w:val="100"/>
                <w:sz w:val="24"/>
                <w:szCs w:val="24"/>
                <w:vertAlign w:val="baseline"/>
              </w:rPr>
              <w:t>）</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F7D01">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7.80%</w:t>
            </w:r>
          </w:p>
          <w:p w14:paraId="0DA9F0CC">
            <w:pPr>
              <w:pStyle w:val="4"/>
              <w:keepNext w:val="0"/>
              <w:keepLines w:val="0"/>
              <w:widowControl/>
              <w:suppressLineNumbers w:val="0"/>
              <w:spacing w:before="0" w:beforeAutospacing="0" w:after="0" w:afterAutospacing="0" w:line="30" w:lineRule="atLeast"/>
              <w:ind w:left="0" w:leftChars="0" w:right="0" w:rightChars="0"/>
              <w:jc w:val="both"/>
              <w:rPr>
                <w:rFonts w:hint="eastAsia"/>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rPr>
              <w:t>（</w:t>
            </w:r>
            <w:r>
              <w:rPr>
                <w:rFonts w:hint="default" w:ascii="微软雅黑" w:hAnsi="微软雅黑" w:eastAsia="微软雅黑" w:cs="微软雅黑"/>
                <w:b w:val="0"/>
                <w:bCs w:val="0"/>
                <w:i w:val="0"/>
                <w:iCs w:val="0"/>
                <w:color w:val="000000"/>
                <w:spacing w:val="0"/>
                <w:w w:val="100"/>
                <w:sz w:val="24"/>
                <w:szCs w:val="24"/>
                <w:vertAlign w:val="baseline"/>
              </w:rPr>
              <w:t>-3.00pp</w:t>
            </w:r>
            <w:r>
              <w:rPr>
                <w:rFonts w:hint="eastAsia" w:ascii="宋体" w:hAnsi="宋体" w:eastAsia="宋体" w:cs="宋体"/>
                <w:b w:val="0"/>
                <w:bCs w:val="0"/>
                <w:i w:val="0"/>
                <w:iCs w:val="0"/>
                <w:color w:val="000000"/>
                <w:spacing w:val="0"/>
                <w:w w:val="100"/>
                <w:sz w:val="24"/>
                <w:szCs w:val="24"/>
                <w:vertAlign w:val="baseline"/>
              </w:rPr>
              <w:t>）</w:t>
            </w:r>
          </w:p>
        </w:tc>
        <w:tc>
          <w:tcPr>
            <w:tcW w:w="24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F625B0">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6.50%</w:t>
            </w:r>
          </w:p>
          <w:p w14:paraId="108CD2E1">
            <w:pPr>
              <w:pStyle w:val="4"/>
              <w:keepNext w:val="0"/>
              <w:keepLines w:val="0"/>
              <w:widowControl/>
              <w:suppressLineNumbers w:val="0"/>
              <w:spacing w:before="0" w:beforeAutospacing="0" w:after="0" w:afterAutospacing="0" w:line="30" w:lineRule="atLeast"/>
              <w:ind w:left="0" w:leftChars="0" w:right="0" w:rightChars="0"/>
              <w:jc w:val="both"/>
              <w:rPr>
                <w:rFonts w:hint="eastAsia"/>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rPr>
              <w:t>（</w:t>
            </w:r>
            <w:r>
              <w:rPr>
                <w:rFonts w:hint="default" w:ascii="微软雅黑" w:hAnsi="微软雅黑" w:eastAsia="微软雅黑" w:cs="微软雅黑"/>
                <w:b w:val="0"/>
                <w:bCs w:val="0"/>
                <w:i w:val="0"/>
                <w:iCs w:val="0"/>
                <w:color w:val="000000"/>
                <w:spacing w:val="0"/>
                <w:w w:val="100"/>
                <w:sz w:val="24"/>
                <w:szCs w:val="24"/>
                <w:vertAlign w:val="baseline"/>
              </w:rPr>
              <w:t>-2.10pp</w:t>
            </w:r>
            <w:r>
              <w:rPr>
                <w:rFonts w:hint="eastAsia" w:ascii="宋体" w:hAnsi="宋体" w:eastAsia="宋体" w:cs="宋体"/>
                <w:b w:val="0"/>
                <w:bCs w:val="0"/>
                <w:i w:val="0"/>
                <w:iCs w:val="0"/>
                <w:color w:val="000000"/>
                <w:spacing w:val="0"/>
                <w:w w:val="100"/>
                <w:sz w:val="24"/>
                <w:szCs w:val="24"/>
                <w:vertAlign w:val="baseline"/>
              </w:rPr>
              <w:t>）</w:t>
            </w:r>
          </w:p>
        </w:tc>
        <w:tc>
          <w:tcPr>
            <w:tcW w:w="2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6458A4">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6.90%</w:t>
            </w:r>
          </w:p>
          <w:p w14:paraId="50DC05D8">
            <w:pPr>
              <w:pStyle w:val="4"/>
              <w:keepNext w:val="0"/>
              <w:keepLines w:val="0"/>
              <w:widowControl/>
              <w:suppressLineNumbers w:val="0"/>
              <w:spacing w:before="0" w:beforeAutospacing="0" w:after="0" w:afterAutospacing="0" w:line="30" w:lineRule="atLeast"/>
              <w:ind w:left="0" w:leftChars="0" w:right="0" w:rightChars="0"/>
              <w:jc w:val="both"/>
              <w:rPr>
                <w:rFonts w:hint="eastAsia"/>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rPr>
              <w:t>（</w:t>
            </w:r>
            <w:r>
              <w:rPr>
                <w:rFonts w:hint="default" w:ascii="微软雅黑" w:hAnsi="微软雅黑" w:eastAsia="微软雅黑" w:cs="微软雅黑"/>
                <w:b w:val="0"/>
                <w:bCs w:val="0"/>
                <w:i w:val="0"/>
                <w:iCs w:val="0"/>
                <w:color w:val="000000"/>
                <w:spacing w:val="0"/>
                <w:w w:val="100"/>
                <w:sz w:val="24"/>
                <w:szCs w:val="24"/>
                <w:vertAlign w:val="baseline"/>
              </w:rPr>
              <w:t>-2.55pp</w:t>
            </w:r>
            <w:r>
              <w:rPr>
                <w:rFonts w:hint="eastAsia" w:ascii="宋体" w:hAnsi="宋体" w:eastAsia="宋体" w:cs="宋体"/>
                <w:b w:val="0"/>
                <w:bCs w:val="0"/>
                <w:i w:val="0"/>
                <w:iCs w:val="0"/>
                <w:color w:val="000000"/>
                <w:spacing w:val="0"/>
                <w:w w:val="100"/>
                <w:sz w:val="24"/>
                <w:szCs w:val="24"/>
                <w:vertAlign w:val="baseline"/>
              </w:rPr>
              <w:t>）</w:t>
            </w:r>
          </w:p>
        </w:tc>
        <w:tc>
          <w:tcPr>
            <w:tcW w:w="2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550A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最敏感地反映“风险供给是否还在前排抢用户注意力”，比风险曝光占比更能体现前X坑位打压、降权是否有效</w:t>
            </w:r>
          </w:p>
        </w:tc>
      </w:tr>
      <w:tr w14:paraId="2131F37F">
        <w:trPr>
          <w:trHeight w:val="2020" w:hRule="atLeast"/>
        </w:trPr>
        <w:tc>
          <w:tcPr>
            <w:tcW w:w="1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D199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GMV护栏</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D807D8">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0.22%</w:t>
            </w:r>
          </w:p>
          <w:p w14:paraId="0E995DAA">
            <w:pPr>
              <w:pStyle w:val="4"/>
              <w:keepNext w:val="0"/>
              <w:keepLines w:val="0"/>
              <w:widowControl/>
              <w:suppressLineNumbers w:val="0"/>
              <w:spacing w:before="0" w:beforeAutospacing="0" w:after="0" w:afterAutospacing="0" w:line="30" w:lineRule="atLeast"/>
              <w:ind w:left="0" w:leftChars="0" w:right="0" w:rightChars="0"/>
              <w:jc w:val="both"/>
              <w:rPr>
                <w:rFonts w:hint="eastAsia"/>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rPr>
              <w:t>（</w:t>
            </w:r>
            <w:r>
              <w:rPr>
                <w:rFonts w:hint="default" w:ascii="微软雅黑" w:hAnsi="微软雅黑" w:eastAsia="微软雅黑" w:cs="微软雅黑"/>
                <w:b w:val="0"/>
                <w:bCs w:val="0"/>
                <w:i w:val="0"/>
                <w:iCs w:val="0"/>
                <w:color w:val="000000"/>
                <w:spacing w:val="0"/>
                <w:w w:val="100"/>
                <w:sz w:val="24"/>
                <w:szCs w:val="24"/>
                <w:vertAlign w:val="baseline"/>
              </w:rPr>
              <w:t>+0.04pp</w:t>
            </w:r>
            <w:r>
              <w:rPr>
                <w:rFonts w:hint="eastAsia" w:ascii="宋体" w:hAnsi="宋体" w:eastAsia="宋体" w:cs="宋体"/>
                <w:b w:val="0"/>
                <w:bCs w:val="0"/>
                <w:i w:val="0"/>
                <w:iCs w:val="0"/>
                <w:color w:val="000000"/>
                <w:spacing w:val="0"/>
                <w:w w:val="100"/>
                <w:sz w:val="24"/>
                <w:szCs w:val="24"/>
                <w:vertAlign w:val="baseline"/>
              </w:rPr>
              <w:t>）</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3B0F6A">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0.32%</w:t>
            </w:r>
          </w:p>
          <w:p w14:paraId="0B371E80">
            <w:pPr>
              <w:pStyle w:val="4"/>
              <w:keepNext w:val="0"/>
              <w:keepLines w:val="0"/>
              <w:widowControl/>
              <w:suppressLineNumbers w:val="0"/>
              <w:spacing w:before="0" w:beforeAutospacing="0" w:after="0" w:afterAutospacing="0" w:line="30" w:lineRule="atLeast"/>
              <w:ind w:left="0" w:leftChars="0" w:right="0" w:rightChars="0"/>
              <w:jc w:val="both"/>
              <w:rPr>
                <w:rFonts w:hint="eastAsia"/>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rPr>
              <w:t>（</w:t>
            </w:r>
            <w:r>
              <w:rPr>
                <w:rFonts w:hint="default" w:ascii="微软雅黑" w:hAnsi="微软雅黑" w:eastAsia="微软雅黑" w:cs="微软雅黑"/>
                <w:b w:val="0"/>
                <w:bCs w:val="0"/>
                <w:i w:val="0"/>
                <w:iCs w:val="0"/>
                <w:color w:val="000000"/>
                <w:spacing w:val="0"/>
                <w:w w:val="100"/>
                <w:sz w:val="24"/>
                <w:szCs w:val="24"/>
                <w:vertAlign w:val="baseline"/>
              </w:rPr>
              <w:t>+0.04pp</w:t>
            </w:r>
            <w:r>
              <w:rPr>
                <w:rFonts w:hint="eastAsia" w:ascii="宋体" w:hAnsi="宋体" w:eastAsia="宋体" w:cs="宋体"/>
                <w:b w:val="0"/>
                <w:bCs w:val="0"/>
                <w:i w:val="0"/>
                <w:iCs w:val="0"/>
                <w:color w:val="000000"/>
                <w:spacing w:val="0"/>
                <w:w w:val="100"/>
                <w:sz w:val="24"/>
                <w:szCs w:val="24"/>
                <w:vertAlign w:val="baseline"/>
              </w:rPr>
              <w:t>）</w:t>
            </w:r>
          </w:p>
        </w:tc>
        <w:tc>
          <w:tcPr>
            <w:tcW w:w="24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60714">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0.52%</w:t>
            </w:r>
          </w:p>
          <w:p w14:paraId="1CE1A548">
            <w:pPr>
              <w:pStyle w:val="4"/>
              <w:keepNext w:val="0"/>
              <w:keepLines w:val="0"/>
              <w:widowControl/>
              <w:suppressLineNumbers w:val="0"/>
              <w:spacing w:before="0" w:beforeAutospacing="0" w:after="0" w:afterAutospacing="0" w:line="30" w:lineRule="atLeast"/>
              <w:ind w:left="0" w:leftChars="0" w:right="0" w:rightChars="0"/>
              <w:jc w:val="both"/>
              <w:rPr>
                <w:rFonts w:hint="eastAsia"/>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rPr>
              <w:t>（</w:t>
            </w:r>
            <w:r>
              <w:rPr>
                <w:rFonts w:hint="default" w:ascii="微软雅黑" w:hAnsi="微软雅黑" w:eastAsia="微软雅黑" w:cs="微软雅黑"/>
                <w:b w:val="0"/>
                <w:bCs w:val="0"/>
                <w:i w:val="0"/>
                <w:iCs w:val="0"/>
                <w:color w:val="000000"/>
                <w:spacing w:val="0"/>
                <w:w w:val="100"/>
                <w:sz w:val="24"/>
                <w:szCs w:val="24"/>
                <w:vertAlign w:val="baseline"/>
              </w:rPr>
              <w:t>+0.04pp</w:t>
            </w:r>
            <w:r>
              <w:rPr>
                <w:rFonts w:hint="eastAsia" w:ascii="宋体" w:hAnsi="宋体" w:eastAsia="宋体" w:cs="宋体"/>
                <w:b w:val="0"/>
                <w:bCs w:val="0"/>
                <w:i w:val="0"/>
                <w:iCs w:val="0"/>
                <w:color w:val="000000"/>
                <w:spacing w:val="0"/>
                <w:w w:val="100"/>
                <w:sz w:val="24"/>
                <w:szCs w:val="24"/>
                <w:vertAlign w:val="baseline"/>
              </w:rPr>
              <w:t>）</w:t>
            </w:r>
          </w:p>
        </w:tc>
        <w:tc>
          <w:tcPr>
            <w:tcW w:w="2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D9E18C">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0.32%</w:t>
            </w:r>
          </w:p>
          <w:p w14:paraId="447EC29B">
            <w:pPr>
              <w:pStyle w:val="4"/>
              <w:keepNext w:val="0"/>
              <w:keepLines w:val="0"/>
              <w:widowControl/>
              <w:suppressLineNumbers w:val="0"/>
              <w:spacing w:before="0" w:beforeAutospacing="0" w:after="0" w:afterAutospacing="0" w:line="30" w:lineRule="atLeast"/>
              <w:ind w:left="0" w:leftChars="0" w:right="0" w:rightChars="0"/>
              <w:jc w:val="both"/>
              <w:rPr>
                <w:rFonts w:hint="eastAsia"/>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rPr>
              <w:t>（</w:t>
            </w:r>
            <w:r>
              <w:rPr>
                <w:rFonts w:hint="default" w:ascii="微软雅黑" w:hAnsi="微软雅黑" w:eastAsia="微软雅黑" w:cs="微软雅黑"/>
                <w:b w:val="0"/>
                <w:bCs w:val="0"/>
                <w:i w:val="0"/>
                <w:iCs w:val="0"/>
                <w:color w:val="000000"/>
                <w:spacing w:val="0"/>
                <w:w w:val="100"/>
                <w:sz w:val="24"/>
                <w:szCs w:val="24"/>
                <w:vertAlign w:val="baseline"/>
              </w:rPr>
              <w:t>+0.04pp</w:t>
            </w:r>
            <w:r>
              <w:rPr>
                <w:rFonts w:hint="eastAsia" w:ascii="宋体" w:hAnsi="宋体" w:eastAsia="宋体" w:cs="宋体"/>
                <w:b w:val="0"/>
                <w:bCs w:val="0"/>
                <w:i w:val="0"/>
                <w:iCs w:val="0"/>
                <w:color w:val="000000"/>
                <w:spacing w:val="0"/>
                <w:w w:val="100"/>
                <w:sz w:val="24"/>
                <w:szCs w:val="24"/>
                <w:vertAlign w:val="baseline"/>
              </w:rPr>
              <w:t>）</w:t>
            </w:r>
          </w:p>
        </w:tc>
        <w:tc>
          <w:tcPr>
            <w:tcW w:w="2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01C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治理不是为了压流量，而是让单位曝光更“可信、更好买”，CXR能把点击与转化的综合收益收敛成一个数</w:t>
            </w:r>
          </w:p>
        </w:tc>
      </w:tr>
    </w:tbl>
    <w:p w14:paraId="387FEF8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6961FB34">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color w:val="0000FF"/>
          <w:sz w:val="24"/>
          <w:lang w:val="en-US" w:eastAsia="zh-CN"/>
        </w:rPr>
      </w:pPr>
      <w:r>
        <w:rPr>
          <w:rFonts w:hint="eastAsia" w:ascii="Calibri" w:hAnsi="Calibri" w:eastAsia="宋体"/>
          <w:color w:val="0000FF"/>
          <w:sz w:val="24"/>
          <w:lang w:val="en-US" w:eastAsia="zh-CN"/>
        </w:rPr>
        <w:t>思考一下：这些数据是怎么来的</w:t>
      </w:r>
    </w:p>
    <w:p w14:paraId="6F26BC5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7D7DDBD">
      <w:pPr>
        <w:pStyle w:val="4"/>
        <w:keepNext w:val="0"/>
        <w:keepLines w:val="0"/>
        <w:widowControl/>
        <w:suppressLineNumbers w:val="0"/>
      </w:pPr>
      <w:r>
        <w:t>##治理目标值怎么定（简介版）</w:t>
      </w:r>
      <w:r>
        <w:br w:type="textWrapping"/>
      </w:r>
      <w:r>
        <w:t>我们用一句话概括：</w:t>
      </w:r>
      <w:r>
        <w:rPr>
          <w:rStyle w:val="8"/>
        </w:rPr>
        <w:t>风险点击占比的下降=“风险点击有多少集中在前排”×“把它从前排挤走后会衰减多少”</w:t>
      </w:r>
      <w:r>
        <w:t>；CXR提升与GMV护栏分别用“效率变好”和“允许损失上限”来定。</w:t>
      </w:r>
    </w:p>
    <w:p w14:paraId="10AE76E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5E1DFFB">
      <w:pPr>
        <w:pStyle w:val="4"/>
        <w:keepNext w:val="0"/>
        <w:keepLines w:val="0"/>
        <w:widowControl/>
        <w:suppressLineNumbers w:val="0"/>
      </w:pPr>
      <w:r>
        <w:t>###1）核心指标1：风险点击占比（怎么从基线推到目标）</w:t>
      </w:r>
      <w:r>
        <w:br w:type="textWrapping"/>
      </w:r>
      <w:r>
        <w:rPr>
          <w:rStyle w:val="8"/>
        </w:rPr>
        <w:t>公式：</w:t>
      </w:r>
      <w:r>
        <w:br w:type="textWrapping"/>
      </w:r>
      <w:r>
        <w:t>目标下降pp≈基线风险点击占比×Top5点击贡献×打压衰减×覆盖率</w:t>
      </w:r>
      <w:r>
        <w:br w:type="textWrapping"/>
      </w:r>
      <w:r>
        <w:t>（覆盖率稳态按100%）</w:t>
      </w:r>
    </w:p>
    <w:p w14:paraId="6EB8D5F1">
      <w:pPr>
        <w:pStyle w:val="4"/>
        <w:keepNext w:val="0"/>
        <w:keepLines w:val="0"/>
        <w:widowControl/>
        <w:suppressLineNumbers w:val="0"/>
      </w:pPr>
      <w:r>
        <w:rPr>
          <w:rStyle w:val="8"/>
        </w:rPr>
        <w:t>我们只做3个假设：</w:t>
      </w:r>
      <w:r>
        <w:br w:type="textWrapping"/>
      </w:r>
      <w:r>
        <w:t>-Top5点击贡献：商家流35%、商品流40%、频道搜38%。</w:t>
      </w:r>
      <w:r>
        <w:br w:type="textWrapping"/>
      </w:r>
      <w:r>
        <w:t>-打压衰减：商家流65%、商品流70%、频道搜65%。</w:t>
      </w:r>
      <w:r>
        <w:br w:type="textWrapping"/>
      </w:r>
      <w:r>
        <w:t>-覆盖率：100%。</w:t>
      </w:r>
    </w:p>
    <w:p w14:paraId="5E4B6381">
      <w:pPr>
        <w:pStyle w:val="4"/>
        <w:keepNext w:val="0"/>
        <w:keepLines w:val="0"/>
        <w:widowControl/>
        <w:suppressLineNumbers w:val="0"/>
      </w:pPr>
      <w:r>
        <w:rPr>
          <w:rStyle w:val="8"/>
        </w:rPr>
        <w:t>为什么商家流35%而商品流40%：</w:t>
      </w:r>
      <w:r>
        <w:br w:type="textWrapping"/>
      </w:r>
      <w:r>
        <w:t>-商品流“点前几个就买”更明显，点击更头部化，所以Top5占比更高取40%。</w:t>
      </w:r>
      <w:r>
        <w:br w:type="textWrapping"/>
      </w:r>
      <w:r>
        <w:t>-商家流“会多点几家对比”（距离、评分、配送），点击更分散，所以取35%。</w:t>
      </w:r>
      <w:r>
        <w:br w:type="textWrapping"/>
      </w:r>
      <w:r>
        <w:t>-频道搜介于两者之间，取38%。</w:t>
      </w:r>
    </w:p>
    <w:p w14:paraId="56D8E34D">
      <w:pPr>
        <w:keepNext w:val="0"/>
        <w:keepLines w:val="0"/>
        <w:widowControl/>
        <w:suppressLineNumbers w:val="0"/>
      </w:pPr>
      <w:r>
        <w:rPr>
          <w:rStyle w:val="8"/>
        </w:rPr>
        <w:t>代入你给的基线算目标（直接给学生看计算结果即可）：</w:t>
      </w:r>
      <w:r>
        <w:br w:type="textWrapping"/>
      </w:r>
      <w:r>
        <w:t>-外卖搜商家流：8.20%×35%×65%≈1.87pp→目标约6.3%，取整为</w:t>
      </w:r>
      <w:r>
        <w:rPr>
          <w:rStyle w:val="8"/>
        </w:rPr>
        <w:t>6.20%（-2.00pp/-24.39%）</w:t>
      </w:r>
      <w:r>
        <w:br w:type="textWrapping"/>
      </w:r>
      <w:r>
        <w:t>-外卖搜商品流：10.80%×40%×70%≈3.02pp→目标约7.8%，取整为</w:t>
      </w:r>
      <w:r>
        <w:rPr>
          <w:rStyle w:val="8"/>
        </w:rPr>
        <w:t>7.80%（-3.00pp/-27.78%）</w:t>
      </w:r>
      <w:r>
        <w:br w:type="textWrapping"/>
      </w:r>
      <w:r>
        <w:t>-频道搜商品流：8.60%×38%×65%≈2.12pp→目标约6.5%，取整为</w:t>
      </w:r>
      <w:r>
        <w:rPr>
          <w:rStyle w:val="8"/>
        </w:rPr>
        <w:t>6.50%（-2.10pp/-24.42%）</w:t>
      </w:r>
      <w:r>
        <w:br w:type="textWrapping"/>
      </w:r>
      <w:r>
        <w:t>-合计（按点击量加权后落点）：取整为</w:t>
      </w:r>
      <w:r>
        <w:rPr>
          <w:rStyle w:val="8"/>
        </w:rPr>
        <w:t>6.90%（-2.55pp/-26.98%）</w:t>
      </w:r>
      <w:r>
        <w:rPr>
          <w:rStyle w:val="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1733069">
      <w:pPr>
        <w:pStyle w:val="4"/>
        <w:keepNext w:val="0"/>
        <w:keepLines w:val="0"/>
        <w:widowControl/>
        <w:suppressLineNumbers w:val="0"/>
      </w:pPr>
      <w:r>
        <w:t>###2）核心指标2：CXR（目标怎么定）</w:t>
      </w:r>
      <w:r>
        <w:br w:type="textWrapping"/>
      </w:r>
      <w:r>
        <w:t>**一句话：**风险供给从前排让位给“更靠谱、更能成交”的供给，单位曝光成交效率会提升。</w:t>
      </w:r>
      <w:r>
        <w:br w:type="textWrapping"/>
      </w:r>
      <w:r>
        <w:t>**定标方式：**不追求夸张，用“可达且能证明有效”的幅度：</w:t>
      </w:r>
      <w:r>
        <w:rPr>
          <w:rStyle w:val="8"/>
        </w:rPr>
        <w:t>各场景统一+0.04pp</w:t>
      </w:r>
      <w:r>
        <w:t>，低基线场景相对涨幅自然更大、更合理。</w:t>
      </w:r>
    </w:p>
    <w:p w14:paraId="69A78DFA">
      <w:pPr>
        <w:pStyle w:val="4"/>
        <w:keepNext w:val="0"/>
        <w:keepLines w:val="0"/>
        <w:widowControl/>
        <w:suppressLineNumbers w:val="0"/>
      </w:pPr>
      <w:r>
        <w:t>-外卖搜商家流：</w:t>
      </w:r>
      <w:r>
        <w:rPr>
          <w:rStyle w:val="8"/>
        </w:rPr>
        <w:t>0.22%（+0.04pp/+22.22%）</w:t>
      </w:r>
      <w:r>
        <w:br w:type="textWrapping"/>
      </w:r>
      <w:r>
        <w:t>-外卖搜商品流：</w:t>
      </w:r>
      <w:r>
        <w:rPr>
          <w:rStyle w:val="8"/>
        </w:rPr>
        <w:t>0.32%（+0.04pp/+14.29%）</w:t>
      </w:r>
      <w:r>
        <w:br w:type="textWrapping"/>
      </w:r>
      <w:r>
        <w:t>-频道搜商品流：</w:t>
      </w:r>
      <w:r>
        <w:rPr>
          <w:rStyle w:val="8"/>
        </w:rPr>
        <w:t>0.52%（+0.04pp/+8.33%）</w:t>
      </w:r>
      <w:r>
        <w:br w:type="textWrapping"/>
      </w:r>
      <w:r>
        <w:t>-合计：</w:t>
      </w:r>
      <w:r>
        <w:rPr>
          <w:rStyle w:val="8"/>
        </w:rPr>
        <w:t>0.32%（+0.04pp/+14.29%）</w:t>
      </w:r>
    </w:p>
    <w:p w14:paraId="3726F36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A028FF3">
      <w:pPr>
        <w:pStyle w:val="4"/>
        <w:keepNext w:val="0"/>
        <w:keepLines w:val="0"/>
        <w:widowControl/>
        <w:suppressLineNumbers w:val="0"/>
      </w:pPr>
      <w:r>
        <w:t>###3）核心指标3：GMV护栏（为什么是-0.30%）</w:t>
      </w:r>
      <w:r>
        <w:br w:type="textWrapping"/>
      </w:r>
      <w:r>
        <w:rPr>
          <w:rStyle w:val="8"/>
        </w:rPr>
        <w:t>一句话：治理会打掉一部分风险订单，允许小幅“治理成本”，但必须可控。</w:t>
      </w:r>
      <w:r>
        <w:rPr>
          <w:rStyle w:val="8"/>
        </w:rPr>
        <w:br w:type="textWrapping"/>
      </w:r>
      <w:r>
        <w:rPr>
          <w:rStyle w:val="8"/>
        </w:rPr>
        <w:t>护栏取值：-0.30%（既能覆盖正常波动，又足够严格，一旦破线就说明策略过猛或误伤扩散）。</w:t>
      </w:r>
      <w:r>
        <w:rPr>
          <w:rStyle w:val="8"/>
        </w:rPr>
        <w:br w:type="textWrapping"/>
      </w:r>
      <w:r>
        <w:rPr>
          <w:rStyle w:val="8"/>
        </w:rPr>
        <w:t>直接用基线×（1-0.003）算下限：</w:t>
      </w:r>
      <w:r>
        <w:rPr>
          <w:rStyle w:val="8"/>
        </w:rPr>
        <w:br w:type="textWrapping"/>
      </w:r>
      <w:r>
        <w:rPr>
          <w:rStyle w:val="8"/>
        </w:rPr>
        <w:t>-外卖搜商家流：≥1285.50万元（-0.30%）</w:t>
      </w:r>
      <w:r>
        <w:br w:type="textWrapping"/>
      </w:r>
      <w:r>
        <w:t>-外卖搜商品流：</w:t>
      </w:r>
      <w:r>
        <w:rPr>
          <w:rStyle w:val="8"/>
        </w:rPr>
        <w:t>≥2777.69万元（-0.30%）</w:t>
      </w:r>
      <w:r>
        <w:br w:type="textWrapping"/>
      </w:r>
      <w:r>
        <w:t>-频道搜商品流：</w:t>
      </w:r>
      <w:r>
        <w:rPr>
          <w:rStyle w:val="8"/>
        </w:rPr>
        <w:t>≥1935.36万元（-0.30%）</w:t>
      </w:r>
      <w:r>
        <w:br w:type="textWrapping"/>
      </w:r>
      <w:r>
        <w:t>-合计：</w:t>
      </w:r>
      <w:r>
        <w:rPr>
          <w:rStyle w:val="8"/>
        </w:rPr>
        <w:t>≥5998.55万元（-0.30%）</w:t>
      </w:r>
    </w:p>
    <w:p w14:paraId="68D58835">
      <w:pPr>
        <w:pStyle w:val="4"/>
        <w:keepNext w:val="0"/>
        <w:keepLines w:val="0"/>
        <w:widowControl/>
        <w:suppressLineNumbers w:val="0"/>
      </w:pPr>
    </w:p>
    <w:p w14:paraId="6B513B9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1BD48B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A4FBA6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5A55764C">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5</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宋体"/>
          <w:b/>
          <w:bCs/>
          <w:i w:val="0"/>
          <w:iCs w:val="0"/>
          <w:color w:val="000000"/>
          <w:spacing w:val="0"/>
          <w:w w:val="100"/>
          <w:sz w:val="36"/>
          <w:szCs w:val="36"/>
          <w:vertAlign w:val="baseline"/>
          <w:lang w:val="en-US" w:eastAsia="zh-CN"/>
        </w:rPr>
        <w:t>项目动作</w:t>
      </w:r>
    </w:p>
    <w:p w14:paraId="390D37A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eastAsia"/>
          <w:b/>
          <w:bCs/>
          <w:sz w:val="32"/>
          <w:szCs w:val="32"/>
          <w:lang w:val="en-US" w:eastAsia="zh-CN"/>
        </w:rPr>
      </w:pPr>
      <w:r>
        <w:rPr>
          <w:rFonts w:hint="eastAsia"/>
          <w:b/>
          <w:bCs/>
          <w:sz w:val="32"/>
          <w:szCs w:val="32"/>
          <w:lang w:val="en-US" w:eastAsia="zh-CN"/>
        </w:rPr>
        <w:t>5.1 特征识别及处理</w:t>
      </w:r>
    </w:p>
    <w:p w14:paraId="1A894C63">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5.1.1 基础数据准备</w:t>
      </w:r>
    </w:p>
    <w:p w14:paraId="782E54D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1、结构化商品信息（强依赖）</w:t>
      </w:r>
    </w:p>
    <w:p w14:paraId="6AD1BE3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-品牌名、品牌标准id（brand_id）</w:t>
      </w:r>
    </w:p>
    <w:p w14:paraId="18B1269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-通用名、剂型、规格、成分要点</w:t>
      </w:r>
    </w:p>
    <w:p w14:paraId="1D03CFF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-OTC/处方、适用人群（儿童/成人）、禁忌提示（如有）</w:t>
      </w:r>
    </w:p>
    <w:p w14:paraId="04E7738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-类目路径（用于约束同类比较）</w:t>
      </w:r>
    </w:p>
    <w:p w14:paraId="198DAD7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F848C2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2、文本信息（强依赖）</w:t>
      </w:r>
    </w:p>
    <w:p w14:paraId="459D37C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-标题、副标题、卖点、标签（若有）</w:t>
      </w:r>
    </w:p>
    <w:p w14:paraId="6A86E62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-门店侧可用：店名、门店标签（用于门店联动判定）</w:t>
      </w:r>
    </w:p>
    <w:p w14:paraId="295C197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3ED3D6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3、可选增强（弱依赖）</w:t>
      </w:r>
    </w:p>
    <w:p w14:paraId="0E61A78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-商品主图OCR或包装特征</w:t>
      </w:r>
    </w:p>
    <w:p w14:paraId="6ACE3C2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5803A2A">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5.1.2 如何定义和识别特征</w:t>
      </w:r>
    </w:p>
    <w:p w14:paraId="706907C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1、商品-信息混淆</w:t>
      </w:r>
    </w:p>
    <w:p w14:paraId="3001F07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（1）定义：信息混淆不是“这个商品是不是假”，而是“用户在结果页看到的信息，是否容易被误导成另一类更强、更权威或更确定的商品”。典型包括：</w:t>
      </w:r>
    </w:p>
    <w:p w14:paraId="53B7A2C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-夸大宣传：出现“根治、秒好、特效、国家级、唯一”等绝对化词。</w:t>
      </w:r>
    </w:p>
    <w:p w14:paraId="332A153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-装正品/官方：出现“官方旗舰、正品保证、同厂同款”等高误导词。</w:t>
      </w:r>
    </w:p>
    <w:p w14:paraId="5E98725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-关键信息缺失：标题缺失通用名/剂型/规格/适用人群等，导致用户无法区分。</w:t>
      </w:r>
    </w:p>
    <w:p w14:paraId="77F5BDC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-关键信息矛盾：标题宣称“儿童可用”，结构化属性却是成人；或标题暗示OTC但处方属性为处方等。</w:t>
      </w:r>
    </w:p>
    <w:p w14:paraId="1D25EE7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（2）识别：</w:t>
      </w:r>
    </w:p>
    <w:p w14:paraId="7FEDE68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default" w:ascii="Calibri" w:hAnsi="Calibri" w:eastAsia="宋体"/>
          <w:sz w:val="24"/>
          <w:lang w:val="en-US" w:eastAsia="zh-CN"/>
        </w:rPr>
        <w:t>a.</w:t>
      </w:r>
      <w:r>
        <w:rPr>
          <w:rFonts w:hint="eastAsia" w:ascii="Calibri" w:hAnsi="Calibri" w:eastAsia="宋体"/>
          <w:sz w:val="24"/>
          <w:lang w:val="en-US" w:eastAsia="zh-CN"/>
        </w:rPr>
        <w:t>文本规则层（高精度）：维护“绝对化词表”“官方/正品暗示词表”“平替/同款暗示词表”“夸大疗效词表”，用正则+分词命中。</w:t>
      </w:r>
    </w:p>
    <w:p w14:paraId="223BEC0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default" w:ascii="Calibri" w:hAnsi="Calibri" w:eastAsia="宋体"/>
          <w:sz w:val="24"/>
          <w:lang w:val="en-US" w:eastAsia="zh-CN"/>
        </w:rPr>
        <w:t>b.</w:t>
      </w:r>
      <w:r>
        <w:rPr>
          <w:rFonts w:hint="eastAsia" w:ascii="Calibri" w:hAnsi="Calibri" w:eastAsia="宋体"/>
          <w:sz w:val="24"/>
          <w:lang w:val="en-US" w:eastAsia="zh-CN"/>
        </w:rPr>
        <w:t>维护“必须字段缺失规则”：如医药类在标题中缺失规格或剂型时给扣分。</w:t>
      </w:r>
    </w:p>
    <w:p w14:paraId="1D3E9A5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default" w:ascii="Calibri" w:hAnsi="Calibri" w:eastAsia="宋体"/>
          <w:sz w:val="24"/>
          <w:lang w:val="en-US" w:eastAsia="zh-CN"/>
        </w:rPr>
        <w:t>c.</w:t>
      </w:r>
      <w:r>
        <w:rPr>
          <w:rFonts w:hint="eastAsia" w:ascii="Calibri" w:hAnsi="Calibri" w:eastAsia="宋体"/>
          <w:sz w:val="24"/>
          <w:lang w:val="en-US" w:eastAsia="zh-CN"/>
        </w:rPr>
        <w:t>一致性校验层（强约束）：标题解析得到的人群/处方/剂型，与结构化属性做一致性对比；不一致则命中。</w:t>
      </w:r>
    </w:p>
    <w:p w14:paraId="11D7C3E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678EE25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2、商品混淆</w:t>
      </w:r>
    </w:p>
    <w:p w14:paraId="0E365D1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（1）定义：用户搜的是“某品牌/某通用名/某明确商品”，结果里出现“非同一商品但高相似表达”的供给，让用户以为是同款或同一品牌正品。典型：</w:t>
      </w:r>
    </w:p>
    <w:p w14:paraId="3657BE9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-标题包含目标品牌词，但结构化brand_id不一致。</w:t>
      </w:r>
    </w:p>
    <w:p w14:paraId="0322304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-标题表达“同款、升级、平替、同厂”，且与目标商品关键属性不一致。</w:t>
      </w:r>
    </w:p>
    <w:p w14:paraId="592D3B6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-通用名相近但关键成分/剂型/规格不同，且标题刻意弱化差异。</w:t>
      </w:r>
    </w:p>
    <w:p w14:paraId="11E08E2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（2）识别：</w:t>
      </w:r>
    </w:p>
    <w:p w14:paraId="6E786CC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先做query意图判定（轻量即可）：若query为品牌意图或商品意图（含品牌词、型号规格等），进入“混淆识别链路”。</w:t>
      </w:r>
    </w:p>
    <w:p w14:paraId="079CD89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候选商品对齐：抽取query中的品牌词、通用名、剂型、规格槽位（用你前面写的结构化解析能力）。</w:t>
      </w:r>
    </w:p>
    <w:p w14:paraId="5F6E58A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关键特征判定：品牌不一致但标题含品牌词→高风险；通用名不一致但标题含通用名/别名→中高风险；规格/剂型差异大且标题不显式声明差异→中风险。</w:t>
      </w:r>
    </w:p>
    <w:p w14:paraId="733889A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相似度辅助：计算标题与目标商品标题的字符相似度、向量相似度，高相似+关键字段不一致→判为商品混淆。</w:t>
      </w:r>
    </w:p>
    <w:p w14:paraId="1B0668D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12B35B4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3、相似品/相似品牌混淆</w:t>
      </w:r>
    </w:p>
    <w:p w14:paraId="0C2655B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（1）定义：品牌名称在视觉或读音上高度相似（例如同音、近音、少量字形替换），用户很难快速分辨，容易误点误购。</w:t>
      </w:r>
    </w:p>
    <w:p w14:paraId="0B6B77A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（2）识别：</w:t>
      </w:r>
    </w:p>
    <w:p w14:paraId="7D210939">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建立“品牌标准化与相似对”体系：</w:t>
      </w:r>
    </w:p>
    <w:p w14:paraId="5547C6A3">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a.品牌别名表：标准brand_id↔别名集合（中英文、大小写、常见错别字）。</w:t>
      </w:r>
    </w:p>
    <w:p w14:paraId="064BAF6F">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b.相似品牌对表：brandA-brandB的相似关系与风险等级（高/中/低）。</w:t>
      </w:r>
    </w:p>
    <w:p w14:paraId="5653ECFE">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d.相似判定算法（先规则后算法，易落地）：</w:t>
      </w:r>
    </w:p>
    <w:p w14:paraId="68CAECA0">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e.字符编辑距离（Levenshtein）≤阈值；</w:t>
      </w:r>
    </w:p>
    <w:p w14:paraId="58EF81AC">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f.拼音相似（同音/近音）；</w:t>
      </w:r>
    </w:p>
    <w:p w14:paraId="5C0B7CBF">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g.常见替换字规则（雷/蕾、健/建等）；</w:t>
      </w:r>
    </w:p>
    <w:p w14:paraId="49468FF0">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h.有条件再加embedding相似。</w:t>
      </w:r>
    </w:p>
    <w:p w14:paraId="220192A3">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触发条件：query命中品牌A，但候选商品品牌为相似品牌B，且B在相似对表中→命中相似品牌混淆。</w:t>
      </w:r>
    </w:p>
    <w:p w14:paraId="6B9F5618">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p>
    <w:p w14:paraId="7927F1A8">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4、门店履约风险</w:t>
      </w:r>
    </w:p>
    <w:p w14:paraId="313EF742">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（1）定义：门店无法稳定履约，导致用户点进去也买不到或体验差：缺货、取消、超时、配送不可达等。</w:t>
      </w:r>
    </w:p>
    <w:p w14:paraId="5606751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（2）识别：</w:t>
      </w:r>
    </w:p>
    <w:p w14:paraId="03936C5C">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指标来源：缺货取消率、商家取消率、超时率、配送失败率、履约时长P90等（统一近7日窗口，避免偶发）。</w:t>
      </w:r>
    </w:p>
    <w:p w14:paraId="171E45EC">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规则判定：若“缺货取消率”&gt;阈值且订单量&gt;最小样本量→命中；若“超时率”&gt;阈值且覆盖多个时段→命中；若“配送失败率”持续异常→命中。</w:t>
      </w:r>
    </w:p>
    <w:p w14:paraId="13C974F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522E6239">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5、服务风险</w:t>
      </w:r>
    </w:p>
    <w:p w14:paraId="0551EBE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（1）定义：门店服务质量差，导致投诉、差评、退货显著高于同城同类平均，影响信任与复购</w:t>
      </w:r>
    </w:p>
    <w:p w14:paraId="4354493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（2）识别：</w:t>
      </w:r>
    </w:p>
    <w:p w14:paraId="58EEACF1">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指标来源：投诉率、差评率、退货率、</w:t>
      </w:r>
      <w:r>
        <w:rPr>
          <w:rFonts w:hint="eastAsia" w:ascii="Calibri" w:hAnsi="Calibri" w:eastAsia="宋体"/>
          <w:sz w:val="24"/>
          <w:lang w:val="en-US" w:eastAsia="zh-CN"/>
        </w:rPr>
        <w:t>质量</w:t>
      </w:r>
      <w:r>
        <w:rPr>
          <w:rFonts w:hint="default" w:ascii="Calibri" w:hAnsi="Calibri" w:eastAsia="宋体"/>
          <w:sz w:val="24"/>
          <w:lang w:val="en-US" w:eastAsia="zh-CN"/>
        </w:rPr>
        <w:t>分。</w:t>
      </w:r>
    </w:p>
    <w:p w14:paraId="4B801534">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对比方式：用“同城+同二级类目”做基准，避免因城市差异误判。</w:t>
      </w:r>
    </w:p>
    <w:p w14:paraId="4F16353A">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规则判定：</w:t>
      </w:r>
    </w:p>
    <w:p w14:paraId="7193B67F">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a.服务分&lt;阈值且订单量&gt;最小样本量→命中；</w:t>
      </w:r>
    </w:p>
    <w:p w14:paraId="4C080712">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b.投诉率高于同城同类P</w:t>
      </w:r>
      <w:r>
        <w:rPr>
          <w:rFonts w:hint="eastAsia" w:ascii="Calibri" w:hAnsi="Calibri" w:eastAsia="宋体"/>
          <w:sz w:val="24"/>
          <w:lang w:val="en-US" w:eastAsia="zh-CN"/>
        </w:rPr>
        <w:t>8</w:t>
      </w:r>
      <w:r>
        <w:rPr>
          <w:rFonts w:hint="default" w:ascii="Calibri" w:hAnsi="Calibri" w:eastAsia="宋体"/>
          <w:sz w:val="24"/>
          <w:lang w:val="en-US" w:eastAsia="zh-CN"/>
        </w:rPr>
        <w:t>0→命中；</w:t>
      </w:r>
    </w:p>
    <w:p w14:paraId="7736143C">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c.差评率高于同城同类P</w:t>
      </w:r>
      <w:r>
        <w:rPr>
          <w:rFonts w:hint="eastAsia" w:ascii="Calibri" w:hAnsi="Calibri" w:eastAsia="宋体"/>
          <w:sz w:val="24"/>
          <w:lang w:val="en-US" w:eastAsia="zh-CN"/>
        </w:rPr>
        <w:t>8</w:t>
      </w:r>
      <w:r>
        <w:rPr>
          <w:rFonts w:hint="default" w:ascii="Calibri" w:hAnsi="Calibri" w:eastAsia="宋体"/>
          <w:sz w:val="24"/>
          <w:lang w:val="en-US" w:eastAsia="zh-CN"/>
        </w:rPr>
        <w:t>0→命中。</w:t>
      </w:r>
    </w:p>
    <w:p w14:paraId="16A91F33">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p>
    <w:p w14:paraId="0EF80D6D">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6、合规风险</w:t>
      </w:r>
    </w:p>
    <w:p w14:paraId="5A59EC52">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p>
    <w:p w14:paraId="780BECBF">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7、经营风险</w:t>
      </w:r>
    </w:p>
    <w:p w14:paraId="0C80B6A5">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p>
    <w:p w14:paraId="5C3A179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67F45A4E">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5.1.3 风险打分体系</w:t>
      </w:r>
    </w:p>
    <w:p w14:paraId="3566F26E">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color w:val="0000FF"/>
          <w:sz w:val="24"/>
          <w:lang w:val="en-US" w:eastAsia="zh-CN"/>
        </w:rPr>
      </w:pPr>
      <w:r>
        <w:rPr>
          <w:rFonts w:hint="eastAsia" w:ascii="Calibri" w:hAnsi="Calibri" w:eastAsia="宋体"/>
          <w:color w:val="0000FF"/>
          <w:sz w:val="24"/>
          <w:lang w:val="en-US" w:eastAsia="zh-CN"/>
        </w:rPr>
        <w:t>思考：为什么要用模型离线打分？</w:t>
      </w:r>
    </w:p>
    <w:p w14:paraId="72E5CFEC">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1、数据标注</w:t>
      </w:r>
    </w:p>
    <w:p w14:paraId="5D77C0B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任务A：商品混淆类（SPU）</w:t>
      </w:r>
    </w:p>
    <w:p w14:paraId="3E86C8D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-标注单元：query+候选商品（标题+品牌+规格+属性）</w:t>
      </w:r>
    </w:p>
    <w:p w14:paraId="03C886B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-标注标签：是否混淆（0/1）+混淆类型（信息混淆/商品混淆/相似品牌）</w:t>
      </w:r>
    </w:p>
    <w:p w14:paraId="79C1161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-抽样方式：优先采Top10曝光、Top5点击、投诉关联订单的样本（更有价值）</w:t>
      </w:r>
    </w:p>
    <w:p w14:paraId="515B0F6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E38080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任务B：门店风险类（POI）</w:t>
      </w:r>
    </w:p>
    <w:p w14:paraId="750A9A6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-标注单元：poi的近7日指标卡片（履约、投诉差评、服务分、资质状态）+典型query曝光截图</w:t>
      </w:r>
    </w:p>
    <w:p w14:paraId="6F2490A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-标注标签：是否问题店（0/1）+风险类型（履约/服务/合规/异常）</w:t>
      </w:r>
    </w:p>
    <w:p w14:paraId="423FD2F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-抽样方式：优先抽“高投诉、低CVR但高曝光”的门店（命中治理痛点）</w:t>
      </w:r>
    </w:p>
    <w:p w14:paraId="7A0A545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8B2E798">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2、样本量</w:t>
      </w:r>
    </w:p>
    <w:p w14:paraId="2CBFA67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-商品混淆：每类5000条，总计约15000条（3类混淆）</w:t>
      </w:r>
    </w:p>
    <w:p w14:paraId="3A884BF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-门店风险：每类2000条，总计约8000条（4类门店风险）</w:t>
      </w:r>
    </w:p>
    <w:p w14:paraId="1870C57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-每周补充增量样本2000-3000条，用于持续迭代与对抗</w:t>
      </w:r>
    </w:p>
    <w:p w14:paraId="4252234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643A7C1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3、标注SOP（保证一致性）</w:t>
      </w:r>
    </w:p>
    <w:p w14:paraId="4FE8EE6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-先给“正例定义+反例边界”示例库（每类20个）</w:t>
      </w:r>
    </w:p>
    <w:p w14:paraId="0AD28F8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-标注双人复核：抽10%做一致性校验，目标一致率≥85%</w:t>
      </w:r>
    </w:p>
    <w:p w14:paraId="1377DC5C">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-争议样本进入“仲裁池”，由治理运营+PM定标，沉淀为长期案例库</w:t>
      </w:r>
    </w:p>
    <w:p w14:paraId="0BD1E4A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9B117C2">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4、模型特征输入</w:t>
      </w:r>
    </w:p>
    <w:p w14:paraId="3C13F46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（1）商品侧输入：</w:t>
      </w:r>
    </w:p>
    <w:p w14:paraId="7396974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-文本：标题、副标题、卖点、标签、品牌名、通用名、规格</w:t>
      </w:r>
    </w:p>
    <w:p w14:paraId="2B67ECC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-结构化：brand_id、类目、OTC/处方、人群、剂型</w:t>
      </w:r>
    </w:p>
    <w:p w14:paraId="1DA4D32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-相似关系：品牌相似对、编辑距离/拼音相似度、向量相似度（可选）</w:t>
      </w:r>
    </w:p>
    <w:p w14:paraId="010D2DD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-行为反馈：曝光点击、退货、差评、投诉关联（可选增强）</w:t>
      </w:r>
    </w:p>
    <w:p w14:paraId="2F4C8EB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56B975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（2）门店侧输入：</w:t>
      </w:r>
    </w:p>
    <w:p w14:paraId="23E5203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-履约：缺货取消率、超时率、配送失败率、履约时长P90</w:t>
      </w:r>
    </w:p>
    <w:p w14:paraId="2601319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-服务：服务分、投诉率、差评率、退货率</w:t>
      </w:r>
    </w:p>
    <w:p w14:paraId="3FC5D8A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-合规：资质状态、处方链路标签</w:t>
      </w:r>
    </w:p>
    <w:p w14:paraId="6E6F19D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-经营：CTR异常、CVR异常、波动性指标</w:t>
      </w:r>
    </w:p>
    <w:p w14:paraId="6081B72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84863C8">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5、输出索引</w:t>
      </w:r>
    </w:p>
    <w:p w14:paraId="3C8E88AF">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离线每日跑1次（T+1），输出两张风险结果表（poi/spu）</w:t>
      </w:r>
    </w:p>
    <w:p w14:paraId="1702B87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6DF6DC3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ascii="Calibri" w:hAnsi="Calibri" w:eastAsia="宋体"/>
          <w:sz w:val="24"/>
          <w:lang w:val="en-US" w:eastAsia="zh-CN"/>
        </w:rPr>
      </w:pPr>
      <w:r>
        <w:rPr>
          <w:rFonts w:hint="eastAsia"/>
          <w:b/>
          <w:bCs/>
          <w:sz w:val="32"/>
          <w:szCs w:val="32"/>
          <w:lang w:val="en-US" w:eastAsia="zh-CN"/>
        </w:rPr>
        <w:t>5.2 治理策略执行</w:t>
      </w:r>
    </w:p>
    <w:p w14:paraId="5171EC4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-主作用层：重排（Re-rank）。理由：你治理的是“Top20露出结构”，重排最接近展示位次，策略可解释、可灰度、可回滚，误伤可控。</w:t>
      </w:r>
    </w:p>
    <w:p w14:paraId="2B69C52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-辅助作用层：召回（Recall）只做硬拦截。理由：合规/资质异常这种“必须不出现”的，越早拦越省成本，也能保证不会漏到Top20。</w:t>
      </w:r>
    </w:p>
    <w:p w14:paraId="061E27B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BB8BE29">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eastAsia" w:ascii="Calibri" w:hAnsi="Calibri" w:eastAsia="宋体"/>
          <w:b/>
          <w:bCs/>
          <w:sz w:val="24"/>
          <w:lang w:val="en-US" w:eastAsia="zh-CN"/>
        </w:rPr>
      </w:pPr>
      <w:r>
        <w:rPr>
          <w:rFonts w:hint="eastAsia"/>
          <w:b/>
          <w:bCs/>
          <w:sz w:val="28"/>
          <w:szCs w:val="28"/>
          <w:lang w:val="en-US" w:eastAsia="zh-CN"/>
        </w:rPr>
        <w:t>5.2.1 召回层</w:t>
      </w:r>
    </w:p>
    <w:p w14:paraId="1C5F0842">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1、拦截条件：</w:t>
      </w:r>
    </w:p>
    <w:p w14:paraId="6C71E93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只拦“强规则、一票否决”的场景，例如：</w:t>
      </w:r>
    </w:p>
    <w:p w14:paraId="0695F30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门店资质过期/缺失、处方链路缺失等合规高危；已确认的黑名单对象（spu/poi在黑名单表）。</w:t>
      </w:r>
    </w:p>
    <w:p w14:paraId="5BEC8DA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B08457B">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2、执行：</w:t>
      </w:r>
    </w:p>
    <w:p w14:paraId="2015A1B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召回候选生成后，在合并候选阶段做一次risk_block_filter：命中即剔除，不进入后续粗排/精排。</w:t>
      </w:r>
    </w:p>
    <w:p w14:paraId="33FC80D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离线分数按天更新即可，合规类建议expire_time更短，支持准实时刷新（至少小时级）</w:t>
      </w:r>
    </w:p>
    <w:p w14:paraId="26B82AF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6D58FBB">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5.2.2 精排层</w:t>
      </w:r>
    </w:p>
    <w:p w14:paraId="65CA83F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把risk_score/risk_type作为特征喂给精排模型，让模型自然地降低高风险候选的点击/转化预估或最终分</w:t>
      </w:r>
    </w:p>
    <w:p w14:paraId="6C45E57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用人工标注的“混淆/问题店”标签做辅助任务或样本重加权</w:t>
      </w:r>
    </w:p>
    <w:p w14:paraId="3A66611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5CEB62A5">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5.2.3 重排层</w:t>
      </w:r>
    </w:p>
    <w:p w14:paraId="2F2F23B9">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1、统一输入</w:t>
      </w:r>
    </w:p>
    <w:p w14:paraId="0A785B4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对每个候选结果（商品卡/门店卡）都拿到两个分：</w:t>
      </w:r>
    </w:p>
    <w:p w14:paraId="611B7D2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-spu_risk_score（商品维度）</w:t>
      </w:r>
    </w:p>
    <w:p w14:paraId="577E7A2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-poi_risk_score（门店维度，可继承到商品）</w:t>
      </w:r>
    </w:p>
    <w:p w14:paraId="752179E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7F4489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合成一个最终风险分（店级优先）：</w:t>
      </w:r>
    </w:p>
    <w:p w14:paraId="4B80CE0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-若是门店卡：final_risk=poi_risk_score</w:t>
      </w:r>
    </w:p>
    <w:p w14:paraId="54179CE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-若是商品卡：final_risk=max(poi_risk_score,spu_risk_score)（或店级直接覆盖商品级）</w:t>
      </w:r>
    </w:p>
    <w:p w14:paraId="698C0E5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F0606FA">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2、执行</w:t>
      </w:r>
    </w:p>
    <w:p w14:paraId="4778FA4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先精排得到base_rank_score并排序得到候选序列，然后在重排做一次top20策略调整。</w:t>
      </w:r>
    </w:p>
    <w:p w14:paraId="6358CF7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策略A：Top20禁入（硬约束）</w:t>
      </w:r>
    </w:p>
    <w:p w14:paraId="148A1DF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触发：final_risk≥90（或risk_type=COMPLIANCE_HIGH）</w:t>
      </w:r>
    </w:p>
    <w:p w14:paraId="145C05A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动作：这些候选不允许进入Top20，从Top20候选集中剔除，用后面的结果补位。</w:t>
      </w:r>
    </w:p>
    <w:p w14:paraId="39D7A45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6F48965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策略B：Top5禁入+Top20强降权（强约束）</w:t>
      </w:r>
    </w:p>
    <w:p w14:paraId="5764926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触发：80≤final_risk&lt;90</w:t>
      </w:r>
    </w:p>
    <w:p w14:paraId="00902BF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动作：</w:t>
      </w:r>
    </w:p>
    <w:p w14:paraId="2730702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1）不得进入Top5；</w:t>
      </w:r>
    </w:p>
    <w:p w14:paraId="4F58251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2）若进入Top20候选集，则adjusted_score=base_score*(1-0.4)（直接40%降权），通常会被压到Top20外或靠后。</w:t>
      </w:r>
    </w:p>
    <w:p w14:paraId="5D9FD774">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04D965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策略C：Top20比例降权（软约束）</w:t>
      </w:r>
    </w:p>
    <w:p w14:paraId="7714FF9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触发：60≤final_risk&lt;80</w:t>
      </w:r>
    </w:p>
    <w:p w14:paraId="339B452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动作：若候选在Top20内，则按分数线性降权：</w:t>
      </w:r>
    </w:p>
    <w:p w14:paraId="5BCD38F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adjusted_score=base_score*(1-α*(final_risk-60)/20)，其中α建议取0.2（最高降20%）。</w:t>
      </w:r>
    </w:p>
    <w:p w14:paraId="00A54B3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解释：中风险主要是“控位置、控抢量”，不直接打没。</w:t>
      </w:r>
    </w:p>
    <w:p w14:paraId="44B75BA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9B2A25E">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color w:val="0000FF"/>
          <w:sz w:val="24"/>
          <w:lang w:val="en-US" w:eastAsia="zh-CN"/>
        </w:rPr>
      </w:pPr>
      <w:r>
        <w:rPr>
          <w:rFonts w:hint="eastAsia" w:ascii="Calibri" w:hAnsi="Calibri" w:eastAsia="宋体"/>
          <w:color w:val="0000FF"/>
          <w:sz w:val="24"/>
          <w:lang w:val="en-US" w:eastAsia="zh-CN"/>
        </w:rPr>
        <w:t>思考：final_risk的阈值如何确认？</w:t>
      </w:r>
    </w:p>
    <w:p w14:paraId="608C2D2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tbl>
      <w:tblPr>
        <w:tblStyle w:val="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30"/>
        <w:gridCol w:w="1677"/>
        <w:gridCol w:w="1677"/>
        <w:gridCol w:w="1677"/>
        <w:gridCol w:w="1658"/>
      </w:tblGrid>
      <w:tr w14:paraId="759ABF0F">
        <w:trPr>
          <w:trHeight w:val="1360" w:hRule="atLeast"/>
        </w:trPr>
        <w:tc>
          <w:tcPr>
            <w:tcW w:w="107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6726A7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阈值</w:t>
            </w:r>
          </w:p>
        </w:tc>
        <w:tc>
          <w:tcPr>
            <w:tcW w:w="98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1EEFDE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影响候选占比</w:t>
            </w:r>
          </w:p>
        </w:tc>
        <w:tc>
          <w:tcPr>
            <w:tcW w:w="98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12EBF5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命中精度</w:t>
            </w:r>
          </w:p>
          <w:p w14:paraId="1894DD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（正例率）</w:t>
            </w:r>
          </w:p>
        </w:tc>
        <w:tc>
          <w:tcPr>
            <w:tcW w:w="984"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72488E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捕获风险占比（召回率）</w:t>
            </w:r>
          </w:p>
        </w:tc>
        <w:tc>
          <w:tcPr>
            <w:tcW w:w="973"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30FE23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动作</w:t>
            </w:r>
          </w:p>
        </w:tc>
      </w:tr>
      <w:tr w14:paraId="1DCF8AF9">
        <w:trPr>
          <w:trHeight w:val="2020" w:hRule="atLeast"/>
        </w:trPr>
        <w:tc>
          <w:tcPr>
            <w:tcW w:w="10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C94D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final_risk≥95</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272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0.20%</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7185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95.00%</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DDCB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3.94%</w:t>
            </w:r>
          </w:p>
        </w:tc>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3296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召回硬过滤/绝不露出（合规一票否决）</w:t>
            </w:r>
          </w:p>
        </w:tc>
      </w:tr>
      <w:tr w14:paraId="7E85DE3B">
        <w:trPr>
          <w:trHeight w:val="1680" w:hRule="atLeast"/>
        </w:trPr>
        <w:tc>
          <w:tcPr>
            <w:tcW w:w="10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4138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final_risk≥90</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B65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0.66%</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5840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85.90%</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0040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11.89%</w:t>
            </w:r>
          </w:p>
        </w:tc>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C18B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Top20禁入（高危不进首屏决策区）</w:t>
            </w:r>
          </w:p>
        </w:tc>
      </w:tr>
      <w:tr w14:paraId="14EA9A78">
        <w:trPr>
          <w:trHeight w:val="2360" w:hRule="atLeast"/>
        </w:trPr>
        <w:tc>
          <w:tcPr>
            <w:tcW w:w="10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9E44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final_risk≥80</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D2C9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1.97%</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92DC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66.63%</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27E4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27.66%</w:t>
            </w:r>
          </w:p>
        </w:tc>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B103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Top5禁入+Top20强降权（不抢黄金位）</w:t>
            </w:r>
          </w:p>
        </w:tc>
      </w:tr>
      <w:tr w14:paraId="4CC0A100">
        <w:trPr>
          <w:trHeight w:val="2020" w:hRule="atLeast"/>
        </w:trPr>
        <w:tc>
          <w:tcPr>
            <w:tcW w:w="10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281F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final_risk≥60</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94D4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13.16%</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2558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24.95%</w:t>
            </w:r>
          </w:p>
        </w:tc>
        <w:tc>
          <w:tcPr>
            <w:tcW w:w="9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5000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69.04%</w:t>
            </w:r>
          </w:p>
        </w:tc>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2D8E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Top20软降权+配额兜底（控结构不硬打）</w:t>
            </w:r>
          </w:p>
        </w:tc>
      </w:tr>
    </w:tbl>
    <w:p w14:paraId="04FF73BC">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6BD2627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15193E8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5.3 机制层兜底干预及badcase预警</w:t>
      </w:r>
    </w:p>
    <w:p w14:paraId="728ECC77">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1、体验兜底</w:t>
      </w:r>
    </w:p>
    <w:p w14:paraId="4907638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（1）触发条件（线上实时判断）</w:t>
      </w:r>
    </w:p>
    <w:p w14:paraId="6768612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Top20有效结果数&lt;20（被禁入/过滤过多导致缺位）</w:t>
      </w:r>
    </w:p>
    <w:p w14:paraId="3EF224C1">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AA8528F">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（2）兜底动作（优先级从强到弱）</w:t>
      </w:r>
    </w:p>
    <w:p w14:paraId="37E00CB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动作1：放宽“Top20风险配额”限制（例如从≤2放宽到≤4），先补齐结果数。</w:t>
      </w:r>
    </w:p>
    <w:p w14:paraId="0B157A02">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动作2：将“Top20禁入”临时降级为“Top20强降权”（即允许进Top20但不能抢Top5）。</w:t>
      </w:r>
    </w:p>
    <w:p w14:paraId="337B6DF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动作3：只在当前query请求内关闭治理（局部降级，不影响全量开关）。</w:t>
      </w:r>
    </w:p>
    <w:p w14:paraId="06731D6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163AD0D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2、业务兜底</w:t>
      </w:r>
    </w:p>
    <w:p w14:paraId="4F519BD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（1）触发条件（按场景分开判定） </w:t>
      </w:r>
    </w:p>
    <w:p w14:paraId="78B3574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GMV跌破护栏-0.30%（任何一个场景触发都要处理） </w:t>
      </w:r>
    </w:p>
    <w:p w14:paraId="69CC61F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或CXR连续2日下降≥0.02pp（说明补位质量差或误伤扩大） </w:t>
      </w:r>
    </w:p>
    <w:p w14:paraId="29B77F1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（2）兜底动作（可灰度可回滚） </w:t>
      </w:r>
    </w:p>
    <w:p w14:paraId="7C9D3D9D">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动作1：提升强动作阈值（更保守） </w:t>
      </w:r>
    </w:p>
    <w:p w14:paraId="5D758C2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 xml:space="preserve">-例如Top20禁入阈值从90→95；Top5禁入从80→85。 </w:t>
      </w:r>
    </w:p>
    <w:p w14:paraId="7ABC953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动作2：缩小强动作生效范围 </w:t>
      </w:r>
    </w:p>
    <w:p w14:paraId="3708DE5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 xml:space="preserve">-先只对外卖搜商品流生效；频道搜只保留软降权。 </w:t>
      </w:r>
    </w:p>
    <w:p w14:paraId="36610D7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动作3：限制强动作仅对“高危query集合”生效 </w:t>
      </w:r>
    </w:p>
    <w:p w14:paraId="10F3B02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i/>
          <w:iCs/>
          <w:sz w:val="24"/>
          <w:lang w:val="en-US" w:eastAsia="zh-CN"/>
        </w:rPr>
      </w:pPr>
      <w:r>
        <w:rPr>
          <w:rFonts w:hint="eastAsia" w:ascii="Calibri" w:hAnsi="Calibri" w:eastAsia="宋体"/>
          <w:i/>
          <w:iCs/>
          <w:sz w:val="24"/>
          <w:lang w:val="en-US" w:eastAsia="zh-CN"/>
        </w:rPr>
        <w:t xml:space="preserve">-例如品牌词混淆/相似品牌词/处方合规词，避免全量误伤。 </w:t>
      </w:r>
    </w:p>
    <w:p w14:paraId="5C95F1F5">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1F0F4C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 xml:space="preserve">3、系统兜底 </w:t>
      </w:r>
    </w:p>
    <w:p w14:paraId="4155D9AE">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（1）触发条件 </w:t>
      </w:r>
    </w:p>
    <w:p w14:paraId="37AE1FB0">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离线分数覆盖率&lt;99.5%（当天大量对象无分） </w:t>
      </w:r>
    </w:p>
    <w:p w14:paraId="7792449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下发版本延迟/回滚失败 搜索侧解析失败率升高（协议兼容问题） </w:t>
      </w:r>
    </w:p>
    <w:p w14:paraId="241FF49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（2）兜底动作 </w:t>
      </w:r>
    </w:p>
    <w:p w14:paraId="6994100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动作1：自动切到“旧策略/无治理”开关（全链路降级） </w:t>
      </w:r>
    </w:p>
    <w:p w14:paraId="2F2549D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 xml:space="preserve">动作2：仅保留合规硬过滤（资质异常≥95），其他治理关闭 </w:t>
      </w:r>
    </w:p>
    <w:p w14:paraId="11545219">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动作3：启动“白名单保护”（核心品牌/核心门店不受治理影响）</w:t>
      </w:r>
    </w:p>
    <w:tbl>
      <w:tblPr>
        <w:tblW w:w="52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4"/>
        <w:gridCol w:w="4763"/>
        <w:gridCol w:w="2117"/>
      </w:tblGrid>
      <w:tr w14:paraId="7D1AF499">
        <w:trPr>
          <w:trHeight w:val="483" w:hRule="atLeast"/>
        </w:trPr>
        <w:tc>
          <w:tcPr>
            <w:tcW w:w="1221" w:type="pct"/>
            <w:tcBorders>
              <w:top w:val="single" w:color="000000" w:sz="12" w:space="0"/>
              <w:left w:val="single" w:color="000000" w:sz="12" w:space="0"/>
              <w:bottom w:val="single" w:color="000000" w:sz="12" w:space="0"/>
              <w:right w:val="single" w:color="000000" w:sz="12" w:space="0"/>
            </w:tcBorders>
            <w:shd w:val="clear" w:color="auto" w:fill="F4B382"/>
            <w:tcMar>
              <w:top w:w="0" w:type="dxa"/>
              <w:left w:w="144" w:type="dxa"/>
              <w:bottom w:w="0" w:type="dxa"/>
              <w:right w:w="144" w:type="dxa"/>
            </w:tcMar>
            <w:vAlign w:val="center"/>
          </w:tcPr>
          <w:p w14:paraId="094CEF12">
            <w:pPr>
              <w:pStyle w:val="4"/>
              <w:keepNext w:val="0"/>
              <w:keepLines w:val="0"/>
              <w:widowControl/>
              <w:suppressLineNumbers w:val="0"/>
              <w:spacing w:before="0" w:beforeAutospacing="0" w:after="0" w:afterAutospacing="0" w:line="30" w:lineRule="atLeast"/>
              <w:ind w:left="0" w:right="0"/>
              <w:jc w:val="both"/>
            </w:pPr>
            <w:r>
              <w:rPr>
                <w:rFonts w:hint="eastAsia" w:ascii="宋体" w:hAnsi="宋体" w:eastAsia="宋体" w:cs="宋体"/>
                <w:b/>
                <w:bCs/>
                <w:i w:val="0"/>
                <w:iCs w:val="0"/>
                <w:color w:val="000000"/>
                <w:spacing w:val="0"/>
                <w:w w:val="100"/>
                <w:sz w:val="24"/>
                <w:szCs w:val="24"/>
                <w:vertAlign w:val="baseline"/>
              </w:rPr>
              <w:t>预警项</w:t>
            </w:r>
          </w:p>
        </w:tc>
        <w:tc>
          <w:tcPr>
            <w:tcW w:w="2615" w:type="pct"/>
            <w:tcBorders>
              <w:top w:val="single" w:color="000000" w:sz="12" w:space="0"/>
              <w:left w:val="single" w:color="000000" w:sz="2" w:space="0"/>
              <w:bottom w:val="single" w:color="000000" w:sz="12" w:space="0"/>
              <w:right w:val="single" w:color="000000" w:sz="12" w:space="0"/>
            </w:tcBorders>
            <w:shd w:val="clear" w:color="auto" w:fill="F4B382"/>
            <w:tcMar>
              <w:top w:w="0" w:type="dxa"/>
              <w:left w:w="144" w:type="dxa"/>
              <w:bottom w:w="0" w:type="dxa"/>
              <w:right w:w="144" w:type="dxa"/>
            </w:tcMar>
            <w:vAlign w:val="center"/>
          </w:tcPr>
          <w:p w14:paraId="49AF354F">
            <w:pPr>
              <w:pStyle w:val="4"/>
              <w:keepNext w:val="0"/>
              <w:keepLines w:val="0"/>
              <w:widowControl/>
              <w:suppressLineNumbers w:val="0"/>
              <w:spacing w:before="0" w:beforeAutospacing="0" w:after="0" w:afterAutospacing="0" w:line="30" w:lineRule="atLeast"/>
              <w:ind w:left="0" w:right="0"/>
              <w:jc w:val="both"/>
            </w:pPr>
            <w:r>
              <w:rPr>
                <w:rFonts w:hint="eastAsia" w:ascii="宋体" w:hAnsi="宋体" w:eastAsia="宋体" w:cs="宋体"/>
                <w:b/>
                <w:bCs/>
                <w:i w:val="0"/>
                <w:iCs w:val="0"/>
                <w:color w:val="000000"/>
                <w:spacing w:val="0"/>
                <w:w w:val="100"/>
                <w:sz w:val="24"/>
                <w:szCs w:val="24"/>
                <w:vertAlign w:val="baseline"/>
              </w:rPr>
              <w:t>触发条件</w:t>
            </w:r>
          </w:p>
        </w:tc>
        <w:tc>
          <w:tcPr>
            <w:tcW w:w="1162" w:type="pct"/>
            <w:tcBorders>
              <w:top w:val="single" w:color="000000" w:sz="12" w:space="0"/>
              <w:left w:val="single" w:color="000000" w:sz="2" w:space="0"/>
              <w:bottom w:val="single" w:color="000000" w:sz="12" w:space="0"/>
              <w:right w:val="single" w:color="000000" w:sz="12" w:space="0"/>
            </w:tcBorders>
            <w:shd w:val="clear" w:color="auto" w:fill="F4B382"/>
            <w:tcMar>
              <w:top w:w="0" w:type="dxa"/>
              <w:left w:w="144" w:type="dxa"/>
              <w:bottom w:w="0" w:type="dxa"/>
              <w:right w:w="144" w:type="dxa"/>
            </w:tcMar>
            <w:vAlign w:val="center"/>
          </w:tcPr>
          <w:p w14:paraId="5EC865CF">
            <w:pPr>
              <w:pStyle w:val="4"/>
              <w:keepNext w:val="0"/>
              <w:keepLines w:val="0"/>
              <w:widowControl/>
              <w:suppressLineNumbers w:val="0"/>
              <w:spacing w:before="0" w:beforeAutospacing="0" w:after="0" w:afterAutospacing="0" w:line="30" w:lineRule="atLeast"/>
              <w:ind w:left="0" w:right="0"/>
              <w:jc w:val="both"/>
            </w:pPr>
            <w:r>
              <w:rPr>
                <w:rFonts w:hint="eastAsia" w:ascii="宋体" w:hAnsi="宋体" w:eastAsia="宋体" w:cs="宋体"/>
                <w:b/>
                <w:bCs/>
                <w:i w:val="0"/>
                <w:iCs w:val="0"/>
                <w:color w:val="000000"/>
                <w:spacing w:val="0"/>
                <w:w w:val="100"/>
                <w:sz w:val="24"/>
                <w:szCs w:val="24"/>
                <w:vertAlign w:val="baseline"/>
              </w:rPr>
              <w:t>预警等级</w:t>
            </w:r>
          </w:p>
        </w:tc>
      </w:tr>
      <w:tr w14:paraId="76BC1AE0">
        <w:trPr>
          <w:trHeight w:val="270" w:hRule="atLeast"/>
        </w:trPr>
        <w:tc>
          <w:tcPr>
            <w:tcW w:w="1221" w:type="pct"/>
            <w:tcBorders>
              <w:top w:val="single" w:color="000000" w:sz="2" w:space="0"/>
              <w:left w:val="single" w:color="000000" w:sz="12" w:space="0"/>
              <w:bottom w:val="single" w:color="000000" w:sz="12" w:space="0"/>
              <w:right w:val="single" w:color="000000" w:sz="12" w:space="0"/>
            </w:tcBorders>
            <w:shd w:val="clear"/>
            <w:tcMar>
              <w:top w:w="0" w:type="dxa"/>
              <w:left w:w="144" w:type="dxa"/>
              <w:bottom w:w="0" w:type="dxa"/>
              <w:right w:w="144" w:type="dxa"/>
            </w:tcMar>
            <w:vAlign w:val="center"/>
          </w:tcPr>
          <w:p w14:paraId="745BDDDC">
            <w:pPr>
              <w:pStyle w:val="4"/>
              <w:keepNext w:val="0"/>
              <w:keepLines w:val="0"/>
              <w:widowControl/>
              <w:suppressLineNumbers w:val="0"/>
              <w:spacing w:before="0" w:beforeAutospacing="0" w:after="0" w:afterAutospacing="0" w:line="30" w:lineRule="atLeast"/>
              <w:ind w:left="0" w:right="0"/>
              <w:jc w:val="both"/>
            </w:pPr>
            <w:r>
              <w:rPr>
                <w:rFonts w:ascii="微软雅黑" w:hAnsi="微软雅黑" w:eastAsia="微软雅黑" w:cs="微软雅黑"/>
                <w:b w:val="0"/>
                <w:bCs w:val="0"/>
                <w:i w:val="0"/>
                <w:iCs w:val="0"/>
                <w:color w:val="000000"/>
                <w:spacing w:val="0"/>
                <w:w w:val="100"/>
                <w:sz w:val="24"/>
                <w:szCs w:val="24"/>
                <w:vertAlign w:val="baseline"/>
              </w:rPr>
              <w:t>GMV</w:t>
            </w:r>
            <w:r>
              <w:rPr>
                <w:rFonts w:hint="eastAsia" w:ascii="宋体" w:hAnsi="宋体" w:eastAsia="宋体" w:cs="宋体"/>
                <w:b w:val="0"/>
                <w:bCs w:val="0"/>
                <w:i w:val="0"/>
                <w:iCs w:val="0"/>
                <w:color w:val="000000"/>
                <w:spacing w:val="0"/>
                <w:w w:val="100"/>
                <w:sz w:val="24"/>
                <w:szCs w:val="24"/>
                <w:vertAlign w:val="baseline"/>
              </w:rPr>
              <w:t>护栏</w:t>
            </w:r>
          </w:p>
        </w:tc>
        <w:tc>
          <w:tcPr>
            <w:tcW w:w="2615" w:type="pct"/>
            <w:tcBorders>
              <w:top w:val="single" w:color="000000" w:sz="2" w:space="0"/>
              <w:left w:val="single" w:color="000000" w:sz="2" w:space="0"/>
              <w:bottom w:val="single" w:color="000000" w:sz="12" w:space="0"/>
              <w:right w:val="single" w:color="000000" w:sz="12" w:space="0"/>
            </w:tcBorders>
            <w:shd w:val="clear"/>
            <w:tcMar>
              <w:top w:w="0" w:type="dxa"/>
              <w:left w:w="144" w:type="dxa"/>
              <w:bottom w:w="0" w:type="dxa"/>
              <w:right w:w="144" w:type="dxa"/>
            </w:tcMar>
            <w:vAlign w:val="center"/>
          </w:tcPr>
          <w:p w14:paraId="07BE466C">
            <w:pPr>
              <w:pStyle w:val="4"/>
              <w:keepNext w:val="0"/>
              <w:keepLines w:val="0"/>
              <w:widowControl/>
              <w:suppressLineNumbers w:val="0"/>
              <w:spacing w:before="0" w:beforeAutospacing="0" w:after="0" w:afterAutospacing="0" w:line="30" w:lineRule="atLeast"/>
              <w:ind w:left="0" w:right="0"/>
              <w:jc w:val="both"/>
            </w:pPr>
            <w:r>
              <w:rPr>
                <w:rFonts w:hint="eastAsia" w:ascii="宋体" w:hAnsi="宋体" w:eastAsia="宋体" w:cs="宋体"/>
                <w:b w:val="0"/>
                <w:bCs w:val="0"/>
                <w:i w:val="0"/>
                <w:iCs w:val="0"/>
                <w:color w:val="000000"/>
                <w:spacing w:val="0"/>
                <w:w w:val="100"/>
                <w:sz w:val="24"/>
                <w:szCs w:val="24"/>
                <w:vertAlign w:val="baseline"/>
              </w:rPr>
              <w:t>任一场景</w:t>
            </w:r>
            <w:r>
              <w:rPr>
                <w:rFonts w:hint="default" w:ascii="微软雅黑" w:hAnsi="微软雅黑" w:eastAsia="微软雅黑" w:cs="微软雅黑"/>
                <w:b w:val="0"/>
                <w:bCs w:val="0"/>
                <w:i w:val="0"/>
                <w:iCs w:val="0"/>
                <w:color w:val="000000"/>
                <w:spacing w:val="0"/>
                <w:w w:val="100"/>
                <w:sz w:val="24"/>
                <w:szCs w:val="24"/>
                <w:vertAlign w:val="baseline"/>
              </w:rPr>
              <w:t>GMV&lt;-0.30%</w:t>
            </w:r>
          </w:p>
        </w:tc>
        <w:tc>
          <w:tcPr>
            <w:tcW w:w="1162" w:type="pct"/>
            <w:tcBorders>
              <w:top w:val="single" w:color="000000" w:sz="2" w:space="0"/>
              <w:left w:val="single" w:color="000000" w:sz="2" w:space="0"/>
              <w:bottom w:val="single" w:color="000000" w:sz="12" w:space="0"/>
              <w:right w:val="single" w:color="000000" w:sz="12" w:space="0"/>
            </w:tcBorders>
            <w:shd w:val="clear"/>
            <w:tcMar>
              <w:top w:w="0" w:type="dxa"/>
              <w:left w:w="144" w:type="dxa"/>
              <w:bottom w:w="0" w:type="dxa"/>
              <w:right w:w="144" w:type="dxa"/>
            </w:tcMar>
            <w:vAlign w:val="center"/>
          </w:tcPr>
          <w:p w14:paraId="5793267D">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P0</w:t>
            </w:r>
            <w:r>
              <w:rPr>
                <w:rFonts w:hint="eastAsia" w:ascii="宋体" w:hAnsi="宋体" w:eastAsia="宋体" w:cs="宋体"/>
                <w:b w:val="0"/>
                <w:bCs w:val="0"/>
                <w:i w:val="0"/>
                <w:iCs w:val="0"/>
                <w:color w:val="000000"/>
                <w:spacing w:val="0"/>
                <w:w w:val="100"/>
                <w:sz w:val="24"/>
                <w:szCs w:val="24"/>
                <w:vertAlign w:val="baseline"/>
              </w:rPr>
              <w:t>立刻处理</w:t>
            </w:r>
          </w:p>
        </w:tc>
      </w:tr>
      <w:tr w14:paraId="7A18C52D">
        <w:trPr>
          <w:trHeight w:val="639" w:hRule="atLeast"/>
        </w:trPr>
        <w:tc>
          <w:tcPr>
            <w:tcW w:w="1221" w:type="pct"/>
            <w:tcBorders>
              <w:top w:val="single" w:color="000000" w:sz="2" w:space="0"/>
              <w:left w:val="single" w:color="000000" w:sz="12" w:space="0"/>
              <w:bottom w:val="single" w:color="000000" w:sz="12" w:space="0"/>
              <w:right w:val="single" w:color="000000" w:sz="12" w:space="0"/>
            </w:tcBorders>
            <w:shd w:val="clear"/>
            <w:tcMar>
              <w:top w:w="0" w:type="dxa"/>
              <w:left w:w="144" w:type="dxa"/>
              <w:bottom w:w="0" w:type="dxa"/>
              <w:right w:w="144" w:type="dxa"/>
            </w:tcMar>
            <w:vAlign w:val="center"/>
          </w:tcPr>
          <w:p w14:paraId="20571DB7">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CXR</w:t>
            </w:r>
            <w:r>
              <w:rPr>
                <w:rFonts w:hint="eastAsia" w:ascii="宋体" w:hAnsi="宋体" w:eastAsia="宋体" w:cs="宋体"/>
                <w:b w:val="0"/>
                <w:bCs w:val="0"/>
                <w:i w:val="0"/>
                <w:iCs w:val="0"/>
                <w:color w:val="000000"/>
                <w:spacing w:val="0"/>
                <w:w w:val="100"/>
                <w:sz w:val="24"/>
                <w:szCs w:val="24"/>
                <w:vertAlign w:val="baseline"/>
              </w:rPr>
              <w:t>异常</w:t>
            </w:r>
          </w:p>
        </w:tc>
        <w:tc>
          <w:tcPr>
            <w:tcW w:w="2615" w:type="pct"/>
            <w:tcBorders>
              <w:top w:val="single" w:color="000000" w:sz="2" w:space="0"/>
              <w:left w:val="single" w:color="000000" w:sz="2" w:space="0"/>
              <w:bottom w:val="single" w:color="000000" w:sz="12" w:space="0"/>
              <w:right w:val="single" w:color="000000" w:sz="12" w:space="0"/>
            </w:tcBorders>
            <w:shd w:val="clear"/>
            <w:tcMar>
              <w:top w:w="0" w:type="dxa"/>
              <w:left w:w="144" w:type="dxa"/>
              <w:bottom w:w="0" w:type="dxa"/>
              <w:right w:w="144" w:type="dxa"/>
            </w:tcMar>
            <w:vAlign w:val="center"/>
          </w:tcPr>
          <w:p w14:paraId="3150B1C8">
            <w:pPr>
              <w:pStyle w:val="4"/>
              <w:keepNext w:val="0"/>
              <w:keepLines w:val="0"/>
              <w:widowControl/>
              <w:suppressLineNumbers w:val="0"/>
              <w:spacing w:before="0" w:beforeAutospacing="0" w:after="0" w:afterAutospacing="0" w:line="30" w:lineRule="atLeast"/>
              <w:ind w:left="0" w:right="0"/>
              <w:jc w:val="both"/>
            </w:pPr>
            <w:r>
              <w:rPr>
                <w:rFonts w:hint="eastAsia" w:ascii="宋体" w:hAnsi="宋体" w:eastAsia="宋体" w:cs="宋体"/>
                <w:b w:val="0"/>
                <w:bCs w:val="0"/>
                <w:i w:val="0"/>
                <w:iCs w:val="0"/>
                <w:color w:val="000000"/>
                <w:spacing w:val="0"/>
                <w:w w:val="100"/>
                <w:sz w:val="24"/>
                <w:szCs w:val="24"/>
                <w:vertAlign w:val="baseline"/>
              </w:rPr>
              <w:t>合计或主场景</w:t>
            </w:r>
            <w:r>
              <w:rPr>
                <w:rFonts w:hint="default" w:ascii="微软雅黑" w:hAnsi="微软雅黑" w:eastAsia="微软雅黑" w:cs="微软雅黑"/>
                <w:b w:val="0"/>
                <w:bCs w:val="0"/>
                <w:i w:val="0"/>
                <w:iCs w:val="0"/>
                <w:color w:val="000000"/>
                <w:spacing w:val="0"/>
                <w:w w:val="100"/>
                <w:sz w:val="24"/>
                <w:szCs w:val="24"/>
                <w:vertAlign w:val="baseline"/>
              </w:rPr>
              <w:t>CXR</w:t>
            </w:r>
            <w:r>
              <w:rPr>
                <w:rFonts w:hint="eastAsia" w:ascii="宋体" w:hAnsi="宋体" w:eastAsia="宋体" w:cs="宋体"/>
                <w:b w:val="0"/>
                <w:bCs w:val="0"/>
                <w:i w:val="0"/>
                <w:iCs w:val="0"/>
                <w:color w:val="000000"/>
                <w:spacing w:val="0"/>
                <w:w w:val="100"/>
                <w:sz w:val="24"/>
                <w:szCs w:val="24"/>
                <w:vertAlign w:val="baseline"/>
              </w:rPr>
              <w:t>连续</w:t>
            </w:r>
            <w:r>
              <w:rPr>
                <w:rFonts w:hint="default" w:ascii="微软雅黑" w:hAnsi="微软雅黑" w:eastAsia="微软雅黑" w:cs="微软雅黑"/>
                <w:b w:val="0"/>
                <w:bCs w:val="0"/>
                <w:i w:val="0"/>
                <w:iCs w:val="0"/>
                <w:color w:val="000000"/>
                <w:spacing w:val="0"/>
                <w:w w:val="100"/>
                <w:sz w:val="24"/>
                <w:szCs w:val="24"/>
                <w:vertAlign w:val="baseline"/>
              </w:rPr>
              <w:t>2</w:t>
            </w:r>
            <w:r>
              <w:rPr>
                <w:rFonts w:hint="eastAsia" w:ascii="宋体" w:hAnsi="宋体" w:eastAsia="宋体" w:cs="宋体"/>
                <w:b w:val="0"/>
                <w:bCs w:val="0"/>
                <w:i w:val="0"/>
                <w:iCs w:val="0"/>
                <w:color w:val="000000"/>
                <w:spacing w:val="0"/>
                <w:w w:val="100"/>
                <w:sz w:val="24"/>
                <w:szCs w:val="24"/>
                <w:vertAlign w:val="baseline"/>
              </w:rPr>
              <w:t>日下降≥</w:t>
            </w:r>
            <w:r>
              <w:rPr>
                <w:rFonts w:hint="default" w:ascii="微软雅黑" w:hAnsi="微软雅黑" w:eastAsia="微软雅黑" w:cs="微软雅黑"/>
                <w:b w:val="0"/>
                <w:bCs w:val="0"/>
                <w:i w:val="0"/>
                <w:iCs w:val="0"/>
                <w:color w:val="000000"/>
                <w:spacing w:val="0"/>
                <w:w w:val="100"/>
                <w:sz w:val="24"/>
                <w:szCs w:val="24"/>
                <w:vertAlign w:val="baseline"/>
              </w:rPr>
              <w:t>0.02pp</w:t>
            </w:r>
          </w:p>
        </w:tc>
        <w:tc>
          <w:tcPr>
            <w:tcW w:w="1162" w:type="pct"/>
            <w:tcBorders>
              <w:top w:val="single" w:color="000000" w:sz="2" w:space="0"/>
              <w:left w:val="single" w:color="000000" w:sz="2" w:space="0"/>
              <w:bottom w:val="single" w:color="000000" w:sz="12" w:space="0"/>
              <w:right w:val="single" w:color="000000" w:sz="12" w:space="0"/>
            </w:tcBorders>
            <w:shd w:val="clear"/>
            <w:tcMar>
              <w:top w:w="0" w:type="dxa"/>
              <w:left w:w="144" w:type="dxa"/>
              <w:bottom w:w="0" w:type="dxa"/>
              <w:right w:w="144" w:type="dxa"/>
            </w:tcMar>
            <w:vAlign w:val="center"/>
          </w:tcPr>
          <w:p w14:paraId="633845EE">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P1</w:t>
            </w:r>
          </w:p>
        </w:tc>
      </w:tr>
      <w:tr w14:paraId="7579E107">
        <w:trPr>
          <w:trHeight w:val="754" w:hRule="atLeast"/>
        </w:trPr>
        <w:tc>
          <w:tcPr>
            <w:tcW w:w="1221" w:type="pct"/>
            <w:tcBorders>
              <w:top w:val="single" w:color="000000" w:sz="2" w:space="0"/>
              <w:left w:val="single" w:color="000000" w:sz="12" w:space="0"/>
              <w:bottom w:val="single" w:color="000000" w:sz="12" w:space="0"/>
              <w:right w:val="single" w:color="000000" w:sz="12" w:space="0"/>
            </w:tcBorders>
            <w:shd w:val="clear"/>
            <w:tcMar>
              <w:top w:w="0" w:type="dxa"/>
              <w:left w:w="144" w:type="dxa"/>
              <w:bottom w:w="0" w:type="dxa"/>
              <w:right w:w="144" w:type="dxa"/>
            </w:tcMar>
            <w:vAlign w:val="center"/>
          </w:tcPr>
          <w:p w14:paraId="1EFB6863">
            <w:pPr>
              <w:pStyle w:val="4"/>
              <w:keepNext w:val="0"/>
              <w:keepLines w:val="0"/>
              <w:widowControl/>
              <w:suppressLineNumbers w:val="0"/>
              <w:spacing w:before="0" w:beforeAutospacing="0" w:after="0" w:afterAutospacing="0" w:line="30" w:lineRule="atLeast"/>
              <w:ind w:left="0" w:right="0"/>
              <w:jc w:val="both"/>
            </w:pPr>
            <w:r>
              <w:rPr>
                <w:rFonts w:hint="eastAsia" w:ascii="宋体" w:hAnsi="宋体" w:eastAsia="宋体" w:cs="宋体"/>
                <w:b w:val="0"/>
                <w:bCs w:val="0"/>
                <w:i w:val="0"/>
                <w:iCs w:val="0"/>
                <w:color w:val="000000"/>
                <w:spacing w:val="0"/>
                <w:w w:val="100"/>
                <w:sz w:val="24"/>
                <w:szCs w:val="24"/>
                <w:vertAlign w:val="baseline"/>
              </w:rPr>
              <w:t>风险点击占比反弹</w:t>
            </w:r>
          </w:p>
        </w:tc>
        <w:tc>
          <w:tcPr>
            <w:tcW w:w="2615" w:type="pct"/>
            <w:tcBorders>
              <w:top w:val="single" w:color="000000" w:sz="2" w:space="0"/>
              <w:left w:val="single" w:color="000000" w:sz="2" w:space="0"/>
              <w:bottom w:val="single" w:color="000000" w:sz="12" w:space="0"/>
              <w:right w:val="single" w:color="000000" w:sz="12" w:space="0"/>
            </w:tcBorders>
            <w:shd w:val="clear"/>
            <w:tcMar>
              <w:top w:w="0" w:type="dxa"/>
              <w:left w:w="144" w:type="dxa"/>
              <w:bottom w:w="0" w:type="dxa"/>
              <w:right w:w="144" w:type="dxa"/>
            </w:tcMar>
            <w:vAlign w:val="center"/>
          </w:tcPr>
          <w:p w14:paraId="2ED04F6E">
            <w:pPr>
              <w:pStyle w:val="4"/>
              <w:keepNext w:val="0"/>
              <w:keepLines w:val="0"/>
              <w:widowControl/>
              <w:suppressLineNumbers w:val="0"/>
              <w:spacing w:before="0" w:beforeAutospacing="0" w:after="0" w:afterAutospacing="0" w:line="30" w:lineRule="atLeast"/>
              <w:ind w:left="0" w:right="0"/>
              <w:jc w:val="both"/>
            </w:pPr>
            <w:r>
              <w:rPr>
                <w:rFonts w:hint="eastAsia" w:ascii="宋体" w:hAnsi="宋体" w:eastAsia="宋体" w:cs="宋体"/>
                <w:b w:val="0"/>
                <w:bCs w:val="0"/>
                <w:i w:val="0"/>
                <w:iCs w:val="0"/>
                <w:color w:val="000000"/>
                <w:spacing w:val="0"/>
                <w:w w:val="100"/>
                <w:sz w:val="24"/>
                <w:szCs w:val="24"/>
                <w:vertAlign w:val="baseline"/>
              </w:rPr>
              <w:t>连续</w:t>
            </w:r>
            <w:r>
              <w:rPr>
                <w:rFonts w:hint="default" w:ascii="微软雅黑" w:hAnsi="微软雅黑" w:eastAsia="微软雅黑" w:cs="微软雅黑"/>
                <w:b w:val="0"/>
                <w:bCs w:val="0"/>
                <w:i w:val="0"/>
                <w:iCs w:val="0"/>
                <w:color w:val="000000"/>
                <w:spacing w:val="0"/>
                <w:w w:val="100"/>
                <w:sz w:val="24"/>
                <w:szCs w:val="24"/>
                <w:vertAlign w:val="baseline"/>
              </w:rPr>
              <w:t>2</w:t>
            </w:r>
            <w:r>
              <w:rPr>
                <w:rFonts w:hint="eastAsia" w:ascii="宋体" w:hAnsi="宋体" w:eastAsia="宋体" w:cs="宋体"/>
                <w:b w:val="0"/>
                <w:bCs w:val="0"/>
                <w:i w:val="0"/>
                <w:iCs w:val="0"/>
                <w:color w:val="000000"/>
                <w:spacing w:val="0"/>
                <w:w w:val="100"/>
                <w:sz w:val="24"/>
                <w:szCs w:val="24"/>
                <w:vertAlign w:val="baseline"/>
              </w:rPr>
              <w:t>日上升≥</w:t>
            </w:r>
            <w:r>
              <w:rPr>
                <w:rFonts w:hint="default" w:ascii="微软雅黑" w:hAnsi="微软雅黑" w:eastAsia="微软雅黑" w:cs="微软雅黑"/>
                <w:b w:val="0"/>
                <w:bCs w:val="0"/>
                <w:i w:val="0"/>
                <w:iCs w:val="0"/>
                <w:color w:val="000000"/>
                <w:spacing w:val="0"/>
                <w:w w:val="100"/>
                <w:sz w:val="24"/>
                <w:szCs w:val="24"/>
                <w:vertAlign w:val="baseline"/>
              </w:rPr>
              <w:t>0.50pp</w:t>
            </w:r>
          </w:p>
        </w:tc>
        <w:tc>
          <w:tcPr>
            <w:tcW w:w="1162" w:type="pct"/>
            <w:tcBorders>
              <w:top w:val="single" w:color="000000" w:sz="2" w:space="0"/>
              <w:left w:val="single" w:color="000000" w:sz="2" w:space="0"/>
              <w:bottom w:val="single" w:color="000000" w:sz="12" w:space="0"/>
              <w:right w:val="single" w:color="000000" w:sz="12" w:space="0"/>
            </w:tcBorders>
            <w:shd w:val="clear"/>
            <w:tcMar>
              <w:top w:w="0" w:type="dxa"/>
              <w:left w:w="144" w:type="dxa"/>
              <w:bottom w:w="0" w:type="dxa"/>
              <w:right w:w="144" w:type="dxa"/>
            </w:tcMar>
            <w:vAlign w:val="center"/>
          </w:tcPr>
          <w:p w14:paraId="31450609">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P1</w:t>
            </w:r>
          </w:p>
        </w:tc>
      </w:tr>
      <w:tr w14:paraId="6718AEDD">
        <w:trPr>
          <w:trHeight w:val="524" w:hRule="atLeast"/>
        </w:trPr>
        <w:tc>
          <w:tcPr>
            <w:tcW w:w="1221" w:type="pct"/>
            <w:tcBorders>
              <w:top w:val="single" w:color="000000" w:sz="2" w:space="0"/>
              <w:left w:val="single" w:color="000000" w:sz="12" w:space="0"/>
              <w:bottom w:val="single" w:color="000000" w:sz="12" w:space="0"/>
              <w:right w:val="single" w:color="000000" w:sz="12" w:space="0"/>
            </w:tcBorders>
            <w:shd w:val="clear"/>
            <w:tcMar>
              <w:top w:w="0" w:type="dxa"/>
              <w:left w:w="144" w:type="dxa"/>
              <w:bottom w:w="0" w:type="dxa"/>
              <w:right w:w="144" w:type="dxa"/>
            </w:tcMar>
            <w:vAlign w:val="center"/>
          </w:tcPr>
          <w:p w14:paraId="09A54DB2">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Top20</w:t>
            </w:r>
            <w:r>
              <w:rPr>
                <w:rFonts w:hint="eastAsia" w:ascii="宋体" w:hAnsi="宋体" w:eastAsia="宋体" w:cs="宋体"/>
                <w:b w:val="0"/>
                <w:bCs w:val="0"/>
                <w:i w:val="0"/>
                <w:iCs w:val="0"/>
                <w:color w:val="000000"/>
                <w:spacing w:val="0"/>
                <w:w w:val="100"/>
                <w:sz w:val="24"/>
                <w:szCs w:val="24"/>
                <w:vertAlign w:val="baseline"/>
              </w:rPr>
              <w:t>缺位率</w:t>
            </w:r>
          </w:p>
        </w:tc>
        <w:tc>
          <w:tcPr>
            <w:tcW w:w="2615" w:type="pct"/>
            <w:tcBorders>
              <w:top w:val="single" w:color="000000" w:sz="2" w:space="0"/>
              <w:left w:val="single" w:color="000000" w:sz="2" w:space="0"/>
              <w:bottom w:val="single" w:color="000000" w:sz="12" w:space="0"/>
              <w:right w:val="single" w:color="000000" w:sz="12" w:space="0"/>
            </w:tcBorders>
            <w:shd w:val="clear"/>
            <w:tcMar>
              <w:top w:w="0" w:type="dxa"/>
              <w:left w:w="144" w:type="dxa"/>
              <w:bottom w:w="0" w:type="dxa"/>
              <w:right w:w="144" w:type="dxa"/>
            </w:tcMar>
            <w:vAlign w:val="center"/>
          </w:tcPr>
          <w:p w14:paraId="053A368D">
            <w:pPr>
              <w:pStyle w:val="4"/>
              <w:keepNext w:val="0"/>
              <w:keepLines w:val="0"/>
              <w:widowControl/>
              <w:suppressLineNumbers w:val="0"/>
              <w:spacing w:before="0" w:beforeAutospacing="0" w:after="0" w:afterAutospacing="0" w:line="30" w:lineRule="atLeast"/>
              <w:ind w:left="0" w:right="0"/>
              <w:jc w:val="both"/>
            </w:pPr>
            <w:r>
              <w:rPr>
                <w:rFonts w:hint="eastAsia" w:ascii="宋体" w:hAnsi="宋体" w:eastAsia="宋体" w:cs="宋体"/>
                <w:b w:val="0"/>
                <w:bCs w:val="0"/>
                <w:i w:val="0"/>
                <w:iCs w:val="0"/>
                <w:color w:val="000000"/>
                <w:spacing w:val="0"/>
                <w:w w:val="100"/>
                <w:sz w:val="24"/>
                <w:szCs w:val="24"/>
                <w:vertAlign w:val="baseline"/>
              </w:rPr>
              <w:t>缺位率</w:t>
            </w:r>
            <w:r>
              <w:rPr>
                <w:rFonts w:hint="default" w:ascii="微软雅黑" w:hAnsi="微软雅黑" w:eastAsia="微软雅黑" w:cs="微软雅黑"/>
                <w:b w:val="0"/>
                <w:bCs w:val="0"/>
                <w:i w:val="0"/>
                <w:iCs w:val="0"/>
                <w:color w:val="000000"/>
                <w:spacing w:val="0"/>
                <w:w w:val="100"/>
                <w:sz w:val="24"/>
                <w:szCs w:val="24"/>
                <w:vertAlign w:val="baseline"/>
              </w:rPr>
              <w:t>&gt;0.30%</w:t>
            </w:r>
            <w:r>
              <w:rPr>
                <w:rFonts w:hint="eastAsia" w:ascii="宋体" w:hAnsi="宋体" w:eastAsia="宋体" w:cs="宋体"/>
                <w:b w:val="0"/>
                <w:bCs w:val="0"/>
                <w:i w:val="0"/>
                <w:iCs w:val="0"/>
                <w:color w:val="000000"/>
                <w:spacing w:val="0"/>
                <w:w w:val="100"/>
                <w:sz w:val="24"/>
                <w:szCs w:val="24"/>
                <w:vertAlign w:val="baseline"/>
              </w:rPr>
              <w:t>或</w:t>
            </w:r>
            <w:r>
              <w:rPr>
                <w:rFonts w:hint="default" w:ascii="微软雅黑" w:hAnsi="微软雅黑" w:eastAsia="微软雅黑" w:cs="微软雅黑"/>
                <w:b w:val="0"/>
                <w:bCs w:val="0"/>
                <w:i w:val="0"/>
                <w:iCs w:val="0"/>
                <w:color w:val="000000"/>
                <w:spacing w:val="0"/>
                <w:w w:val="100"/>
                <w:sz w:val="24"/>
                <w:szCs w:val="24"/>
                <w:vertAlign w:val="baseline"/>
              </w:rPr>
              <w:t>ASN&lt;6</w:t>
            </w:r>
            <w:r>
              <w:rPr>
                <w:rFonts w:hint="eastAsia" w:ascii="宋体" w:hAnsi="宋体" w:eastAsia="宋体" w:cs="宋体"/>
                <w:b w:val="0"/>
                <w:bCs w:val="0"/>
                <w:i w:val="0"/>
                <w:iCs w:val="0"/>
                <w:color w:val="000000"/>
                <w:spacing w:val="0"/>
                <w:w w:val="100"/>
                <w:sz w:val="24"/>
                <w:szCs w:val="24"/>
                <w:vertAlign w:val="baseline"/>
              </w:rPr>
              <w:t>占比</w:t>
            </w:r>
            <w:r>
              <w:rPr>
                <w:rFonts w:hint="default" w:ascii="微软雅黑" w:hAnsi="微软雅黑" w:eastAsia="微软雅黑" w:cs="微软雅黑"/>
                <w:b w:val="0"/>
                <w:bCs w:val="0"/>
                <w:i w:val="0"/>
                <w:iCs w:val="0"/>
                <w:color w:val="000000"/>
                <w:spacing w:val="0"/>
                <w:w w:val="100"/>
                <w:sz w:val="24"/>
                <w:szCs w:val="24"/>
                <w:vertAlign w:val="baseline"/>
              </w:rPr>
              <w:t>&gt;0.50%</w:t>
            </w:r>
          </w:p>
        </w:tc>
        <w:tc>
          <w:tcPr>
            <w:tcW w:w="1162" w:type="pct"/>
            <w:tcBorders>
              <w:top w:val="single" w:color="000000" w:sz="2" w:space="0"/>
              <w:left w:val="single" w:color="000000" w:sz="2" w:space="0"/>
              <w:bottom w:val="single" w:color="000000" w:sz="12" w:space="0"/>
              <w:right w:val="single" w:color="000000" w:sz="12" w:space="0"/>
            </w:tcBorders>
            <w:shd w:val="clear"/>
            <w:tcMar>
              <w:top w:w="0" w:type="dxa"/>
              <w:left w:w="144" w:type="dxa"/>
              <w:bottom w:w="0" w:type="dxa"/>
              <w:right w:w="144" w:type="dxa"/>
            </w:tcMar>
            <w:vAlign w:val="center"/>
          </w:tcPr>
          <w:p w14:paraId="257329DD">
            <w:pPr>
              <w:pStyle w:val="4"/>
              <w:keepNext w:val="0"/>
              <w:keepLines w:val="0"/>
              <w:widowControl/>
              <w:suppressLineNumbers w:val="0"/>
              <w:spacing w:before="0" w:beforeAutospacing="0" w:after="0" w:afterAutospacing="0" w:line="30" w:lineRule="atLeast"/>
              <w:ind w:left="0" w:right="0"/>
              <w:jc w:val="both"/>
            </w:pPr>
            <w:r>
              <w:rPr>
                <w:rFonts w:hint="default" w:ascii="微软雅黑" w:hAnsi="微软雅黑" w:eastAsia="微软雅黑" w:cs="微软雅黑"/>
                <w:b w:val="0"/>
                <w:bCs w:val="0"/>
                <w:i w:val="0"/>
                <w:iCs w:val="0"/>
                <w:color w:val="000000"/>
                <w:spacing w:val="0"/>
                <w:w w:val="100"/>
                <w:sz w:val="24"/>
                <w:szCs w:val="24"/>
                <w:vertAlign w:val="baseline"/>
              </w:rPr>
              <w:t>P0/P1</w:t>
            </w:r>
            <w:r>
              <w:rPr>
                <w:rFonts w:hint="eastAsia" w:ascii="宋体" w:hAnsi="宋体" w:eastAsia="宋体" w:cs="宋体"/>
                <w:b w:val="0"/>
                <w:bCs w:val="0"/>
                <w:i w:val="0"/>
                <w:iCs w:val="0"/>
                <w:color w:val="000000"/>
                <w:spacing w:val="0"/>
                <w:w w:val="100"/>
                <w:sz w:val="24"/>
                <w:szCs w:val="24"/>
                <w:vertAlign w:val="baseline"/>
              </w:rPr>
              <w:t>（按幅度）</w:t>
            </w:r>
          </w:p>
        </w:tc>
      </w:tr>
    </w:tbl>
    <w:p w14:paraId="551403C3">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1C5C6D4A">
      <w:pPr>
        <w:pStyle w:val="4"/>
        <w:keepNext w:val="0"/>
        <w:keepLines w:val="0"/>
        <w:widowControl/>
        <w:suppressLineNumbers w:val="0"/>
        <w:spacing w:before="0" w:beforeAutospacing="0" w:after="0" w:afterAutospacing="0" w:line="30" w:lineRule="atLeast"/>
        <w:ind w:left="0" w:right="0" w:firstLine="420"/>
        <w:jc w:val="both"/>
      </w:pPr>
      <w:r>
        <w:rPr>
          <w:rFonts w:ascii="微软雅黑" w:hAnsi="微软雅黑" w:eastAsia="微软雅黑" w:cs="微软雅黑"/>
          <w:b/>
          <w:bCs/>
          <w:i w:val="0"/>
          <w:iCs w:val="0"/>
          <w:color w:val="000000"/>
          <w:spacing w:val="0"/>
          <w:w w:val="100"/>
          <w:sz w:val="24"/>
          <w:szCs w:val="24"/>
          <w:vertAlign w:val="baseline"/>
        </w:rPr>
        <w:t>4</w:t>
      </w:r>
      <w:r>
        <w:rPr>
          <w:rFonts w:hint="eastAsia" w:ascii="宋体" w:hAnsi="宋体" w:eastAsia="宋体" w:cs="宋体"/>
          <w:b/>
          <w:bCs/>
          <w:i w:val="0"/>
          <w:iCs w:val="0"/>
          <w:color w:val="000000"/>
          <w:spacing w:val="0"/>
          <w:w w:val="100"/>
          <w:sz w:val="24"/>
          <w:szCs w:val="24"/>
          <w:vertAlign w:val="baseline"/>
        </w:rPr>
        <w:t>、</w:t>
      </w:r>
      <w:r>
        <w:rPr>
          <w:rFonts w:hint="default" w:ascii="微软雅黑" w:hAnsi="微软雅黑" w:eastAsia="微软雅黑" w:cs="微软雅黑"/>
          <w:b/>
          <w:bCs/>
          <w:i w:val="0"/>
          <w:iCs w:val="0"/>
          <w:color w:val="000000"/>
          <w:spacing w:val="0"/>
          <w:w w:val="100"/>
          <w:sz w:val="24"/>
          <w:szCs w:val="24"/>
          <w:vertAlign w:val="baseline"/>
        </w:rPr>
        <w:t>badcase</w:t>
      </w:r>
      <w:r>
        <w:rPr>
          <w:rFonts w:hint="eastAsia" w:ascii="宋体" w:hAnsi="宋体" w:eastAsia="宋体" w:cs="宋体"/>
          <w:b/>
          <w:bCs/>
          <w:i w:val="0"/>
          <w:iCs w:val="0"/>
          <w:color w:val="000000"/>
          <w:spacing w:val="0"/>
          <w:w w:val="100"/>
          <w:sz w:val="24"/>
          <w:szCs w:val="24"/>
          <w:vertAlign w:val="baseline"/>
        </w:rPr>
        <w:t>自动定位</w:t>
      </w:r>
    </w:p>
    <w:p w14:paraId="649452A8">
      <w:pPr>
        <w:pStyle w:val="4"/>
        <w:keepNext w:val="0"/>
        <w:keepLines w:val="0"/>
        <w:widowControl/>
        <w:suppressLineNumbers w:val="0"/>
        <w:spacing w:before="0" w:beforeAutospacing="0" w:after="0" w:afterAutospacing="0" w:line="30"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预警触发后，系统自动吐出</w:t>
      </w:r>
      <w:r>
        <w:rPr>
          <w:rFonts w:hint="default" w:ascii="微软雅黑" w:hAnsi="微软雅黑" w:eastAsia="微软雅黑" w:cs="微软雅黑"/>
          <w:b w:val="0"/>
          <w:bCs w:val="0"/>
          <w:i w:val="0"/>
          <w:iCs w:val="0"/>
          <w:color w:val="000000"/>
          <w:spacing w:val="0"/>
          <w:w w:val="100"/>
          <w:sz w:val="24"/>
          <w:szCs w:val="24"/>
          <w:vertAlign w:val="baseline"/>
        </w:rPr>
        <w:t>TopN</w:t>
      </w:r>
      <w:r>
        <w:rPr>
          <w:rFonts w:hint="eastAsia" w:ascii="宋体" w:hAnsi="宋体" w:eastAsia="宋体" w:cs="宋体"/>
          <w:b w:val="0"/>
          <w:bCs w:val="0"/>
          <w:i w:val="0"/>
          <w:iCs w:val="0"/>
          <w:color w:val="000000"/>
          <w:spacing w:val="0"/>
          <w:w w:val="100"/>
          <w:sz w:val="24"/>
          <w:szCs w:val="24"/>
          <w:vertAlign w:val="baseline"/>
        </w:rPr>
        <w:t>样本（例如</w:t>
      </w:r>
      <w:r>
        <w:rPr>
          <w:rFonts w:hint="default" w:ascii="微软雅黑" w:hAnsi="微软雅黑" w:eastAsia="微软雅黑" w:cs="微软雅黑"/>
          <w:b w:val="0"/>
          <w:bCs w:val="0"/>
          <w:i w:val="0"/>
          <w:iCs w:val="0"/>
          <w:color w:val="000000"/>
          <w:spacing w:val="0"/>
          <w:w w:val="100"/>
          <w:sz w:val="24"/>
          <w:szCs w:val="24"/>
          <w:vertAlign w:val="baseline"/>
        </w:rPr>
        <w:t>100</w:t>
      </w:r>
      <w:r>
        <w:rPr>
          <w:rFonts w:hint="eastAsia" w:ascii="宋体" w:hAnsi="宋体" w:eastAsia="宋体" w:cs="宋体"/>
          <w:b w:val="0"/>
          <w:bCs w:val="0"/>
          <w:i w:val="0"/>
          <w:iCs w:val="0"/>
          <w:color w:val="000000"/>
          <w:spacing w:val="0"/>
          <w:w w:val="100"/>
          <w:sz w:val="24"/>
          <w:szCs w:val="24"/>
          <w:vertAlign w:val="baseline"/>
        </w:rPr>
        <w:t>条），每条样本必须包含：</w:t>
      </w:r>
    </w:p>
    <w:p w14:paraId="75A47F6E">
      <w:pPr>
        <w:pStyle w:val="4"/>
        <w:keepNext w:val="0"/>
        <w:keepLines w:val="0"/>
        <w:widowControl/>
        <w:suppressLineNumbers w:val="0"/>
        <w:spacing w:before="0" w:beforeAutospacing="0" w:after="0" w:afterAutospacing="0" w:line="30" w:lineRule="atLeast"/>
        <w:ind w:left="0" w:right="0" w:firstLine="420"/>
        <w:jc w:val="both"/>
      </w:pPr>
      <w:r>
        <w:rPr>
          <w:rFonts w:hint="default" w:ascii="微软雅黑" w:hAnsi="微软雅黑" w:eastAsia="微软雅黑" w:cs="微软雅黑"/>
          <w:b w:val="0"/>
          <w:bCs w:val="0"/>
          <w:i w:val="0"/>
          <w:iCs w:val="0"/>
          <w:color w:val="000000"/>
          <w:spacing w:val="0"/>
          <w:w w:val="100"/>
          <w:sz w:val="24"/>
          <w:szCs w:val="24"/>
          <w:vertAlign w:val="baseline"/>
        </w:rPr>
        <w:t>query</w:t>
      </w:r>
      <w:r>
        <w:rPr>
          <w:rFonts w:hint="eastAsia" w:ascii="宋体" w:hAnsi="宋体" w:eastAsia="宋体" w:cs="宋体"/>
          <w:b w:val="0"/>
          <w:bCs w:val="0"/>
          <w:i w:val="0"/>
          <w:iCs w:val="0"/>
          <w:color w:val="000000"/>
          <w:spacing w:val="0"/>
          <w:w w:val="100"/>
          <w:sz w:val="24"/>
          <w:szCs w:val="24"/>
          <w:vertAlign w:val="baseline"/>
        </w:rPr>
        <w:t>、场景、</w:t>
      </w:r>
      <w:r>
        <w:rPr>
          <w:rFonts w:hint="default" w:ascii="微软雅黑" w:hAnsi="微软雅黑" w:eastAsia="微软雅黑" w:cs="微软雅黑"/>
          <w:b w:val="0"/>
          <w:bCs w:val="0"/>
          <w:i w:val="0"/>
          <w:iCs w:val="0"/>
          <w:color w:val="000000"/>
          <w:spacing w:val="0"/>
          <w:w w:val="100"/>
          <w:sz w:val="24"/>
          <w:szCs w:val="24"/>
          <w:vertAlign w:val="baseline"/>
        </w:rPr>
        <w:t>uuid</w:t>
      </w:r>
      <w:r>
        <w:rPr>
          <w:rFonts w:hint="eastAsia" w:ascii="宋体" w:hAnsi="宋体" w:eastAsia="宋体" w:cs="宋体"/>
          <w:b w:val="0"/>
          <w:bCs w:val="0"/>
          <w:i w:val="0"/>
          <w:iCs w:val="0"/>
          <w:color w:val="000000"/>
          <w:spacing w:val="0"/>
          <w:w w:val="100"/>
          <w:sz w:val="24"/>
          <w:szCs w:val="24"/>
          <w:vertAlign w:val="baseline"/>
        </w:rPr>
        <w:t>、</w:t>
      </w:r>
      <w:r>
        <w:rPr>
          <w:rFonts w:hint="default" w:ascii="微软雅黑" w:hAnsi="微软雅黑" w:eastAsia="微软雅黑" w:cs="微软雅黑"/>
          <w:b w:val="0"/>
          <w:bCs w:val="0"/>
          <w:i w:val="0"/>
          <w:iCs w:val="0"/>
          <w:color w:val="000000"/>
          <w:spacing w:val="0"/>
          <w:w w:val="100"/>
          <w:sz w:val="24"/>
          <w:szCs w:val="24"/>
          <w:vertAlign w:val="baseline"/>
        </w:rPr>
        <w:t>pvid</w:t>
      </w:r>
      <w:r>
        <w:rPr>
          <w:rFonts w:hint="eastAsia" w:ascii="宋体" w:hAnsi="宋体" w:eastAsia="宋体" w:cs="宋体"/>
          <w:b w:val="0"/>
          <w:bCs w:val="0"/>
          <w:i w:val="0"/>
          <w:iCs w:val="0"/>
          <w:color w:val="000000"/>
          <w:spacing w:val="0"/>
          <w:w w:val="100"/>
          <w:sz w:val="24"/>
          <w:szCs w:val="24"/>
          <w:vertAlign w:val="baseline"/>
        </w:rPr>
        <w:t>（用于回放）</w:t>
      </w:r>
    </w:p>
    <w:p w14:paraId="1BB4F7F4">
      <w:pPr>
        <w:pStyle w:val="4"/>
        <w:keepNext w:val="0"/>
        <w:keepLines w:val="0"/>
        <w:widowControl/>
        <w:suppressLineNumbers w:val="0"/>
        <w:spacing w:before="0" w:beforeAutospacing="0" w:after="0" w:afterAutospacing="0" w:line="30" w:lineRule="atLeast"/>
        <w:ind w:left="0" w:right="0" w:firstLine="420"/>
        <w:jc w:val="both"/>
      </w:pPr>
      <w:r>
        <w:rPr>
          <w:rFonts w:hint="default" w:ascii="微软雅黑" w:hAnsi="微软雅黑" w:eastAsia="微软雅黑" w:cs="微软雅黑"/>
          <w:b w:val="0"/>
          <w:bCs w:val="0"/>
          <w:i w:val="0"/>
          <w:iCs w:val="0"/>
          <w:color w:val="000000"/>
          <w:spacing w:val="0"/>
          <w:w w:val="100"/>
          <w:sz w:val="24"/>
          <w:szCs w:val="24"/>
          <w:vertAlign w:val="baseline"/>
        </w:rPr>
        <w:t>Top20</w:t>
      </w:r>
      <w:r>
        <w:rPr>
          <w:rFonts w:hint="eastAsia" w:ascii="宋体" w:hAnsi="宋体" w:eastAsia="宋体" w:cs="宋体"/>
          <w:b w:val="0"/>
          <w:bCs w:val="0"/>
          <w:i w:val="0"/>
          <w:iCs w:val="0"/>
          <w:color w:val="000000"/>
          <w:spacing w:val="0"/>
          <w:w w:val="100"/>
          <w:sz w:val="24"/>
          <w:szCs w:val="24"/>
          <w:vertAlign w:val="baseline"/>
        </w:rPr>
        <w:t>列表（含</w:t>
      </w:r>
      <w:r>
        <w:rPr>
          <w:rFonts w:hint="default" w:ascii="微软雅黑" w:hAnsi="微软雅黑" w:eastAsia="微软雅黑" w:cs="微软雅黑"/>
          <w:b w:val="0"/>
          <w:bCs w:val="0"/>
          <w:i w:val="0"/>
          <w:iCs w:val="0"/>
          <w:color w:val="000000"/>
          <w:spacing w:val="0"/>
          <w:w w:val="100"/>
          <w:sz w:val="24"/>
          <w:szCs w:val="24"/>
          <w:vertAlign w:val="baseline"/>
        </w:rPr>
        <w:t>poi_id/spu_id</w:t>
      </w:r>
      <w:r>
        <w:rPr>
          <w:rFonts w:hint="eastAsia" w:ascii="宋体" w:hAnsi="宋体" w:eastAsia="宋体" w:cs="宋体"/>
          <w:b w:val="0"/>
          <w:bCs w:val="0"/>
          <w:i w:val="0"/>
          <w:iCs w:val="0"/>
          <w:color w:val="000000"/>
          <w:spacing w:val="0"/>
          <w:w w:val="100"/>
          <w:sz w:val="24"/>
          <w:szCs w:val="24"/>
          <w:vertAlign w:val="baseline"/>
        </w:rPr>
        <w:t>、</w:t>
      </w:r>
      <w:r>
        <w:rPr>
          <w:rFonts w:hint="default" w:ascii="微软雅黑" w:hAnsi="微软雅黑" w:eastAsia="微软雅黑" w:cs="微软雅黑"/>
          <w:b w:val="0"/>
          <w:bCs w:val="0"/>
          <w:i w:val="0"/>
          <w:iCs w:val="0"/>
          <w:color w:val="000000"/>
          <w:spacing w:val="0"/>
          <w:w w:val="100"/>
          <w:sz w:val="24"/>
          <w:szCs w:val="24"/>
          <w:vertAlign w:val="baseline"/>
        </w:rPr>
        <w:t>final_risk</w:t>
      </w:r>
      <w:r>
        <w:rPr>
          <w:rFonts w:hint="eastAsia" w:ascii="宋体" w:hAnsi="宋体" w:eastAsia="宋体" w:cs="宋体"/>
          <w:b w:val="0"/>
          <w:bCs w:val="0"/>
          <w:i w:val="0"/>
          <w:iCs w:val="0"/>
          <w:color w:val="000000"/>
          <w:spacing w:val="0"/>
          <w:w w:val="100"/>
          <w:sz w:val="24"/>
          <w:szCs w:val="24"/>
          <w:vertAlign w:val="baseline"/>
        </w:rPr>
        <w:t>、是否被禁入、是否被降权）</w:t>
      </w:r>
    </w:p>
    <w:p w14:paraId="358BA780">
      <w:pPr>
        <w:pStyle w:val="4"/>
        <w:keepNext w:val="0"/>
        <w:keepLines w:val="0"/>
        <w:widowControl/>
        <w:suppressLineNumbers w:val="0"/>
        <w:spacing w:before="0" w:beforeAutospacing="0" w:after="0" w:afterAutospacing="0" w:line="30"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触发的兜底动作（是否放宽配额</w:t>
      </w:r>
      <w:r>
        <w:rPr>
          <w:rFonts w:hint="default" w:ascii="微软雅黑" w:hAnsi="微软雅黑" w:eastAsia="微软雅黑" w:cs="微软雅黑"/>
          <w:b w:val="0"/>
          <w:bCs w:val="0"/>
          <w:i w:val="0"/>
          <w:iCs w:val="0"/>
          <w:color w:val="000000"/>
          <w:spacing w:val="0"/>
          <w:w w:val="100"/>
          <w:sz w:val="24"/>
          <w:szCs w:val="24"/>
          <w:vertAlign w:val="baseline"/>
        </w:rPr>
        <w:t>/</w:t>
      </w:r>
      <w:r>
        <w:rPr>
          <w:rFonts w:hint="eastAsia" w:ascii="宋体" w:hAnsi="宋体" w:eastAsia="宋体" w:cs="宋体"/>
          <w:b w:val="0"/>
          <w:bCs w:val="0"/>
          <w:i w:val="0"/>
          <w:iCs w:val="0"/>
          <w:color w:val="000000"/>
          <w:spacing w:val="0"/>
          <w:w w:val="100"/>
          <w:sz w:val="24"/>
          <w:szCs w:val="24"/>
          <w:vertAlign w:val="baseline"/>
        </w:rPr>
        <w:t>是否降级禁入）</w:t>
      </w:r>
    </w:p>
    <w:p w14:paraId="3A2A258D">
      <w:pPr>
        <w:pStyle w:val="4"/>
        <w:keepNext w:val="0"/>
        <w:keepLines w:val="0"/>
        <w:widowControl/>
        <w:suppressLineNumbers w:val="0"/>
        <w:spacing w:before="0" w:beforeAutospacing="0" w:after="0" w:afterAutospacing="0" w:line="30"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原因码</w:t>
      </w:r>
      <w:r>
        <w:rPr>
          <w:rFonts w:hint="default" w:ascii="微软雅黑" w:hAnsi="微软雅黑" w:eastAsia="微软雅黑" w:cs="微软雅黑"/>
          <w:b w:val="0"/>
          <w:bCs w:val="0"/>
          <w:i w:val="0"/>
          <w:iCs w:val="0"/>
          <w:color w:val="000000"/>
          <w:spacing w:val="0"/>
          <w:w w:val="100"/>
          <w:sz w:val="24"/>
          <w:szCs w:val="24"/>
          <w:vertAlign w:val="baseline"/>
        </w:rPr>
        <w:t>Top3</w:t>
      </w:r>
      <w:r>
        <w:rPr>
          <w:rFonts w:hint="eastAsia" w:ascii="宋体" w:hAnsi="宋体" w:eastAsia="宋体" w:cs="宋体"/>
          <w:b w:val="0"/>
          <w:bCs w:val="0"/>
          <w:i w:val="0"/>
          <w:iCs w:val="0"/>
          <w:color w:val="000000"/>
          <w:spacing w:val="0"/>
          <w:w w:val="100"/>
          <w:sz w:val="24"/>
          <w:szCs w:val="24"/>
          <w:vertAlign w:val="baseline"/>
        </w:rPr>
        <w:t>（为什么高风险）</w:t>
      </w:r>
    </w:p>
    <w:p w14:paraId="78F502DB">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16A4071A">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8507F8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b/>
          <w:bCs/>
          <w:sz w:val="36"/>
          <w:szCs w:val="36"/>
          <w:lang w:val="en-US" w:eastAsia="zh-CN"/>
        </w:rPr>
      </w:pPr>
      <w:r>
        <w:rPr>
          <w:rFonts w:hint="eastAsia"/>
          <w:b/>
          <w:bCs/>
          <w:sz w:val="36"/>
          <w:szCs w:val="36"/>
          <w:lang w:val="en-US" w:eastAsia="zh-CN"/>
        </w:rPr>
        <w:t>6 项目结果</w:t>
      </w:r>
    </w:p>
    <w:p w14:paraId="44F5489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6.1 AB测试</w:t>
      </w:r>
    </w:p>
    <w:tbl>
      <w:tblPr>
        <w:tblW w:w="11406" w:type="dxa"/>
        <w:tblInd w:w="-1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197"/>
        <w:gridCol w:w="1251"/>
        <w:gridCol w:w="1360"/>
        <w:gridCol w:w="1625"/>
        <w:gridCol w:w="1517"/>
        <w:gridCol w:w="1478"/>
        <w:gridCol w:w="1252"/>
        <w:gridCol w:w="726"/>
      </w:tblGrid>
      <w:tr w14:paraId="7C0A734C">
        <w:trPr>
          <w:trHeight w:val="680" w:hRule="atLeast"/>
        </w:trPr>
        <w:tc>
          <w:tcPr>
            <w:tcW w:w="2197"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52BE36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组</w:t>
            </w:r>
          </w:p>
        </w:tc>
        <w:tc>
          <w:tcPr>
            <w:tcW w:w="1251"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0994B8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spu分</w:t>
            </w:r>
          </w:p>
        </w:tc>
        <w:tc>
          <w:tcPr>
            <w:tcW w:w="1360"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7A4C52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poi分</w:t>
            </w:r>
          </w:p>
        </w:tc>
        <w:tc>
          <w:tcPr>
            <w:tcW w:w="1625"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597141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召回硬拦截</w:t>
            </w:r>
          </w:p>
        </w:tc>
        <w:tc>
          <w:tcPr>
            <w:tcW w:w="1517"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39E34B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重排软约束</w:t>
            </w:r>
          </w:p>
        </w:tc>
        <w:tc>
          <w:tcPr>
            <w:tcW w:w="1478"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2BF37C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重排强约束</w:t>
            </w:r>
          </w:p>
        </w:tc>
        <w:tc>
          <w:tcPr>
            <w:tcW w:w="1252"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27CAED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高危限定</w:t>
            </w:r>
          </w:p>
        </w:tc>
        <w:tc>
          <w:tcPr>
            <w:tcW w:w="726"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06963C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兜底</w:t>
            </w:r>
          </w:p>
        </w:tc>
      </w:tr>
      <w:tr w14:paraId="5DDCBD22">
        <w:trPr>
          <w:trHeight w:val="340" w:hRule="atLeast"/>
        </w:trPr>
        <w:tc>
          <w:tcPr>
            <w:tcW w:w="2197" w:type="dxa"/>
            <w:tcBorders>
              <w:top w:val="single" w:color="000000" w:sz="4" w:space="0"/>
              <w:left w:val="single" w:color="000000" w:sz="4" w:space="0"/>
              <w:bottom w:val="single" w:color="000000" w:sz="4" w:space="0"/>
              <w:right w:val="single" w:color="000000" w:sz="4" w:space="0"/>
            </w:tcBorders>
            <w:shd w:val="clear"/>
            <w:vAlign w:val="center"/>
          </w:tcPr>
          <w:p w14:paraId="5D8D1D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G0-对照</w:t>
            </w:r>
          </w:p>
        </w:tc>
        <w:tc>
          <w:tcPr>
            <w:tcW w:w="1251" w:type="dxa"/>
            <w:tcBorders>
              <w:top w:val="single" w:color="000000" w:sz="4" w:space="0"/>
              <w:left w:val="single" w:color="000000" w:sz="4" w:space="0"/>
              <w:bottom w:val="single" w:color="000000" w:sz="4" w:space="0"/>
              <w:right w:val="single" w:color="000000" w:sz="4" w:space="0"/>
            </w:tcBorders>
            <w:shd w:val="clear"/>
            <w:vAlign w:val="center"/>
          </w:tcPr>
          <w:p w14:paraId="0B1B1A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360" w:type="dxa"/>
            <w:tcBorders>
              <w:top w:val="single" w:color="000000" w:sz="4" w:space="0"/>
              <w:left w:val="single" w:color="000000" w:sz="4" w:space="0"/>
              <w:bottom w:val="single" w:color="000000" w:sz="4" w:space="0"/>
              <w:right w:val="single" w:color="000000" w:sz="4" w:space="0"/>
            </w:tcBorders>
            <w:shd w:val="clear"/>
            <w:vAlign w:val="center"/>
          </w:tcPr>
          <w:p w14:paraId="24BA8A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355F06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517" w:type="dxa"/>
            <w:tcBorders>
              <w:top w:val="single" w:color="000000" w:sz="4" w:space="0"/>
              <w:left w:val="single" w:color="000000" w:sz="4" w:space="0"/>
              <w:bottom w:val="single" w:color="000000" w:sz="4" w:space="0"/>
              <w:right w:val="single" w:color="000000" w:sz="4" w:space="0"/>
            </w:tcBorders>
            <w:shd w:val="clear"/>
            <w:vAlign w:val="center"/>
          </w:tcPr>
          <w:p w14:paraId="1A887D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478" w:type="dxa"/>
            <w:tcBorders>
              <w:top w:val="single" w:color="000000" w:sz="4" w:space="0"/>
              <w:left w:val="single" w:color="000000" w:sz="4" w:space="0"/>
              <w:bottom w:val="single" w:color="000000" w:sz="4" w:space="0"/>
              <w:right w:val="single" w:color="000000" w:sz="4" w:space="0"/>
            </w:tcBorders>
            <w:shd w:val="clear"/>
            <w:vAlign w:val="center"/>
          </w:tcPr>
          <w:p w14:paraId="7595EA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252" w:type="dxa"/>
            <w:tcBorders>
              <w:top w:val="single" w:color="000000" w:sz="4" w:space="0"/>
              <w:left w:val="single" w:color="000000" w:sz="4" w:space="0"/>
              <w:bottom w:val="single" w:color="000000" w:sz="4" w:space="0"/>
              <w:right w:val="single" w:color="000000" w:sz="4" w:space="0"/>
            </w:tcBorders>
            <w:shd w:val="clear"/>
            <w:vAlign w:val="center"/>
          </w:tcPr>
          <w:p w14:paraId="5648FB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726" w:type="dxa"/>
            <w:tcBorders>
              <w:top w:val="single" w:color="000000" w:sz="4" w:space="0"/>
              <w:left w:val="single" w:color="000000" w:sz="4" w:space="0"/>
              <w:bottom w:val="single" w:color="000000" w:sz="4" w:space="0"/>
              <w:right w:val="single" w:color="000000" w:sz="4" w:space="0"/>
            </w:tcBorders>
            <w:shd w:val="clear"/>
            <w:vAlign w:val="center"/>
          </w:tcPr>
          <w:p w14:paraId="05C4BA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r>
      <w:tr w14:paraId="06AC314C">
        <w:trPr>
          <w:trHeight w:val="1020" w:hRule="atLeast"/>
        </w:trPr>
        <w:tc>
          <w:tcPr>
            <w:tcW w:w="2197" w:type="dxa"/>
            <w:tcBorders>
              <w:top w:val="single" w:color="000000" w:sz="4" w:space="0"/>
              <w:left w:val="single" w:color="000000" w:sz="4" w:space="0"/>
              <w:bottom w:val="single" w:color="000000" w:sz="4" w:space="0"/>
              <w:right w:val="single" w:color="000000" w:sz="4" w:space="0"/>
            </w:tcBorders>
            <w:shd w:val="clear"/>
            <w:vAlign w:val="center"/>
          </w:tcPr>
          <w:p w14:paraId="2136AA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G1-AA影子链路</w:t>
            </w:r>
          </w:p>
        </w:tc>
        <w:tc>
          <w:tcPr>
            <w:tcW w:w="1251" w:type="dxa"/>
            <w:tcBorders>
              <w:top w:val="single" w:color="000000" w:sz="4" w:space="0"/>
              <w:left w:val="single" w:color="000000" w:sz="4" w:space="0"/>
              <w:bottom w:val="single" w:color="000000" w:sz="4" w:space="0"/>
              <w:right w:val="single" w:color="000000" w:sz="4" w:space="0"/>
            </w:tcBorders>
            <w:shd w:val="clear"/>
            <w:vAlign w:val="center"/>
          </w:tcPr>
          <w:p w14:paraId="05B311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影子</w:t>
            </w:r>
          </w:p>
        </w:tc>
        <w:tc>
          <w:tcPr>
            <w:tcW w:w="1360" w:type="dxa"/>
            <w:tcBorders>
              <w:top w:val="single" w:color="000000" w:sz="4" w:space="0"/>
              <w:left w:val="single" w:color="000000" w:sz="4" w:space="0"/>
              <w:bottom w:val="single" w:color="000000" w:sz="4" w:space="0"/>
              <w:right w:val="single" w:color="000000" w:sz="4" w:space="0"/>
            </w:tcBorders>
            <w:shd w:val="clear"/>
            <w:vAlign w:val="center"/>
          </w:tcPr>
          <w:p w14:paraId="771A51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影子</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6F601B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517" w:type="dxa"/>
            <w:tcBorders>
              <w:top w:val="single" w:color="000000" w:sz="4" w:space="0"/>
              <w:left w:val="single" w:color="000000" w:sz="4" w:space="0"/>
              <w:bottom w:val="single" w:color="000000" w:sz="4" w:space="0"/>
              <w:right w:val="single" w:color="000000" w:sz="4" w:space="0"/>
            </w:tcBorders>
            <w:shd w:val="clear"/>
            <w:vAlign w:val="center"/>
          </w:tcPr>
          <w:p w14:paraId="628A83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478" w:type="dxa"/>
            <w:tcBorders>
              <w:top w:val="single" w:color="000000" w:sz="4" w:space="0"/>
              <w:left w:val="single" w:color="000000" w:sz="4" w:space="0"/>
              <w:bottom w:val="single" w:color="000000" w:sz="4" w:space="0"/>
              <w:right w:val="single" w:color="000000" w:sz="4" w:space="0"/>
            </w:tcBorders>
            <w:shd w:val="clear"/>
            <w:vAlign w:val="center"/>
          </w:tcPr>
          <w:p w14:paraId="32B3A3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252" w:type="dxa"/>
            <w:tcBorders>
              <w:top w:val="single" w:color="000000" w:sz="4" w:space="0"/>
              <w:left w:val="single" w:color="000000" w:sz="4" w:space="0"/>
              <w:bottom w:val="single" w:color="000000" w:sz="4" w:space="0"/>
              <w:right w:val="single" w:color="000000" w:sz="4" w:space="0"/>
            </w:tcBorders>
            <w:shd w:val="clear"/>
            <w:vAlign w:val="center"/>
          </w:tcPr>
          <w:p w14:paraId="6E4EB9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726" w:type="dxa"/>
            <w:tcBorders>
              <w:top w:val="single" w:color="000000" w:sz="4" w:space="0"/>
              <w:left w:val="single" w:color="000000" w:sz="4" w:space="0"/>
              <w:bottom w:val="single" w:color="000000" w:sz="4" w:space="0"/>
              <w:right w:val="single" w:color="000000" w:sz="4" w:space="0"/>
            </w:tcBorders>
            <w:shd w:val="clear"/>
            <w:vAlign w:val="center"/>
          </w:tcPr>
          <w:p w14:paraId="2516C8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影子</w:t>
            </w:r>
          </w:p>
        </w:tc>
      </w:tr>
      <w:tr w14:paraId="0D8BFC06">
        <w:trPr>
          <w:trHeight w:val="680" w:hRule="atLeast"/>
        </w:trPr>
        <w:tc>
          <w:tcPr>
            <w:tcW w:w="2197" w:type="dxa"/>
            <w:tcBorders>
              <w:top w:val="single" w:color="000000" w:sz="4" w:space="0"/>
              <w:left w:val="single" w:color="000000" w:sz="4" w:space="0"/>
              <w:bottom w:val="single" w:color="000000" w:sz="4" w:space="0"/>
              <w:right w:val="single" w:color="000000" w:sz="4" w:space="0"/>
            </w:tcBorders>
            <w:shd w:val="clear"/>
            <w:vAlign w:val="center"/>
          </w:tcPr>
          <w:p w14:paraId="59A076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G2-商品治理-软</w:t>
            </w:r>
          </w:p>
        </w:tc>
        <w:tc>
          <w:tcPr>
            <w:tcW w:w="1251" w:type="dxa"/>
            <w:tcBorders>
              <w:top w:val="single" w:color="000000" w:sz="4" w:space="0"/>
              <w:left w:val="single" w:color="000000" w:sz="4" w:space="0"/>
              <w:bottom w:val="single" w:color="000000" w:sz="4" w:space="0"/>
              <w:right w:val="single" w:color="000000" w:sz="4" w:space="0"/>
            </w:tcBorders>
            <w:shd w:val="clear"/>
            <w:vAlign w:val="center"/>
          </w:tcPr>
          <w:p w14:paraId="6D84EE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是(仅商品流)</w:t>
            </w:r>
          </w:p>
        </w:tc>
        <w:tc>
          <w:tcPr>
            <w:tcW w:w="1360" w:type="dxa"/>
            <w:tcBorders>
              <w:top w:val="single" w:color="000000" w:sz="4" w:space="0"/>
              <w:left w:val="single" w:color="000000" w:sz="4" w:space="0"/>
              <w:bottom w:val="single" w:color="000000" w:sz="4" w:space="0"/>
              <w:right w:val="single" w:color="000000" w:sz="4" w:space="0"/>
            </w:tcBorders>
            <w:shd w:val="clear"/>
            <w:vAlign w:val="center"/>
          </w:tcPr>
          <w:p w14:paraId="6EDA69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00911A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517" w:type="dxa"/>
            <w:tcBorders>
              <w:top w:val="single" w:color="000000" w:sz="4" w:space="0"/>
              <w:left w:val="single" w:color="000000" w:sz="4" w:space="0"/>
              <w:bottom w:val="single" w:color="000000" w:sz="4" w:space="0"/>
              <w:right w:val="single" w:color="000000" w:sz="4" w:space="0"/>
            </w:tcBorders>
            <w:shd w:val="clear"/>
            <w:vAlign w:val="center"/>
          </w:tcPr>
          <w:p w14:paraId="35F7CE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是(仅商品流)</w:t>
            </w:r>
          </w:p>
        </w:tc>
        <w:tc>
          <w:tcPr>
            <w:tcW w:w="1478" w:type="dxa"/>
            <w:tcBorders>
              <w:top w:val="single" w:color="000000" w:sz="4" w:space="0"/>
              <w:left w:val="single" w:color="000000" w:sz="4" w:space="0"/>
              <w:bottom w:val="single" w:color="000000" w:sz="4" w:space="0"/>
              <w:right w:val="single" w:color="000000" w:sz="4" w:space="0"/>
            </w:tcBorders>
            <w:shd w:val="clear"/>
            <w:vAlign w:val="center"/>
          </w:tcPr>
          <w:p w14:paraId="4B002F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252" w:type="dxa"/>
            <w:tcBorders>
              <w:top w:val="single" w:color="000000" w:sz="4" w:space="0"/>
              <w:left w:val="single" w:color="000000" w:sz="4" w:space="0"/>
              <w:bottom w:val="single" w:color="000000" w:sz="4" w:space="0"/>
              <w:right w:val="single" w:color="000000" w:sz="4" w:space="0"/>
            </w:tcBorders>
            <w:shd w:val="clear"/>
            <w:vAlign w:val="center"/>
          </w:tcPr>
          <w:p w14:paraId="3512E0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726" w:type="dxa"/>
            <w:tcBorders>
              <w:top w:val="single" w:color="000000" w:sz="4" w:space="0"/>
              <w:left w:val="single" w:color="000000" w:sz="4" w:space="0"/>
              <w:bottom w:val="single" w:color="000000" w:sz="4" w:space="0"/>
              <w:right w:val="single" w:color="000000" w:sz="4" w:space="0"/>
            </w:tcBorders>
            <w:shd w:val="clear"/>
            <w:vAlign w:val="center"/>
          </w:tcPr>
          <w:p w14:paraId="0E08A2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r>
      <w:tr w14:paraId="1AC2E113">
        <w:trPr>
          <w:trHeight w:val="680" w:hRule="atLeast"/>
        </w:trPr>
        <w:tc>
          <w:tcPr>
            <w:tcW w:w="2197" w:type="dxa"/>
            <w:tcBorders>
              <w:top w:val="single" w:color="000000" w:sz="4" w:space="0"/>
              <w:left w:val="single" w:color="000000" w:sz="4" w:space="0"/>
              <w:bottom w:val="single" w:color="000000" w:sz="4" w:space="0"/>
              <w:right w:val="single" w:color="000000" w:sz="4" w:space="0"/>
            </w:tcBorders>
            <w:shd w:val="clear"/>
            <w:vAlign w:val="center"/>
          </w:tcPr>
          <w:p w14:paraId="570A14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G3-商品治理-强</w:t>
            </w:r>
          </w:p>
        </w:tc>
        <w:tc>
          <w:tcPr>
            <w:tcW w:w="1251" w:type="dxa"/>
            <w:tcBorders>
              <w:top w:val="single" w:color="000000" w:sz="4" w:space="0"/>
              <w:left w:val="single" w:color="000000" w:sz="4" w:space="0"/>
              <w:bottom w:val="single" w:color="000000" w:sz="4" w:space="0"/>
              <w:right w:val="single" w:color="000000" w:sz="4" w:space="0"/>
            </w:tcBorders>
            <w:shd w:val="clear"/>
            <w:vAlign w:val="center"/>
          </w:tcPr>
          <w:p w14:paraId="429847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是(仅商品流)</w:t>
            </w:r>
          </w:p>
        </w:tc>
        <w:tc>
          <w:tcPr>
            <w:tcW w:w="1360" w:type="dxa"/>
            <w:tcBorders>
              <w:top w:val="single" w:color="000000" w:sz="4" w:space="0"/>
              <w:left w:val="single" w:color="000000" w:sz="4" w:space="0"/>
              <w:bottom w:val="single" w:color="000000" w:sz="4" w:space="0"/>
              <w:right w:val="single" w:color="000000" w:sz="4" w:space="0"/>
            </w:tcBorders>
            <w:shd w:val="clear"/>
            <w:vAlign w:val="center"/>
          </w:tcPr>
          <w:p w14:paraId="032774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6579B2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是(仅商品流)</w:t>
            </w:r>
          </w:p>
        </w:tc>
        <w:tc>
          <w:tcPr>
            <w:tcW w:w="1517" w:type="dxa"/>
            <w:tcBorders>
              <w:top w:val="single" w:color="000000" w:sz="4" w:space="0"/>
              <w:left w:val="single" w:color="000000" w:sz="4" w:space="0"/>
              <w:bottom w:val="single" w:color="000000" w:sz="4" w:space="0"/>
              <w:right w:val="single" w:color="000000" w:sz="4" w:space="0"/>
            </w:tcBorders>
            <w:shd w:val="clear"/>
            <w:vAlign w:val="center"/>
          </w:tcPr>
          <w:p w14:paraId="6E5D3F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478" w:type="dxa"/>
            <w:tcBorders>
              <w:top w:val="single" w:color="000000" w:sz="4" w:space="0"/>
              <w:left w:val="single" w:color="000000" w:sz="4" w:space="0"/>
              <w:bottom w:val="single" w:color="000000" w:sz="4" w:space="0"/>
              <w:right w:val="single" w:color="000000" w:sz="4" w:space="0"/>
            </w:tcBorders>
            <w:shd w:val="clear"/>
            <w:vAlign w:val="center"/>
          </w:tcPr>
          <w:p w14:paraId="75CAF8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是(仅商品流)</w:t>
            </w:r>
          </w:p>
        </w:tc>
        <w:tc>
          <w:tcPr>
            <w:tcW w:w="1252" w:type="dxa"/>
            <w:tcBorders>
              <w:top w:val="single" w:color="000000" w:sz="4" w:space="0"/>
              <w:left w:val="single" w:color="000000" w:sz="4" w:space="0"/>
              <w:bottom w:val="single" w:color="000000" w:sz="4" w:space="0"/>
              <w:right w:val="single" w:color="000000" w:sz="4" w:space="0"/>
            </w:tcBorders>
            <w:shd w:val="clear"/>
            <w:vAlign w:val="center"/>
          </w:tcPr>
          <w:p w14:paraId="0E1E74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726" w:type="dxa"/>
            <w:tcBorders>
              <w:top w:val="single" w:color="000000" w:sz="4" w:space="0"/>
              <w:left w:val="single" w:color="000000" w:sz="4" w:space="0"/>
              <w:bottom w:val="single" w:color="000000" w:sz="4" w:space="0"/>
              <w:right w:val="single" w:color="000000" w:sz="4" w:space="0"/>
            </w:tcBorders>
            <w:shd w:val="clear"/>
            <w:vAlign w:val="center"/>
          </w:tcPr>
          <w:p w14:paraId="5FE285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r>
      <w:tr w14:paraId="726584ED">
        <w:trPr>
          <w:trHeight w:val="680" w:hRule="atLeast"/>
        </w:trPr>
        <w:tc>
          <w:tcPr>
            <w:tcW w:w="2197" w:type="dxa"/>
            <w:tcBorders>
              <w:top w:val="single" w:color="000000" w:sz="4" w:space="0"/>
              <w:left w:val="single" w:color="000000" w:sz="4" w:space="0"/>
              <w:bottom w:val="single" w:color="000000" w:sz="4" w:space="0"/>
              <w:right w:val="single" w:color="000000" w:sz="4" w:space="0"/>
            </w:tcBorders>
            <w:shd w:val="clear"/>
            <w:vAlign w:val="center"/>
          </w:tcPr>
          <w:p w14:paraId="330BF6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G4-门店治理-软</w:t>
            </w:r>
          </w:p>
        </w:tc>
        <w:tc>
          <w:tcPr>
            <w:tcW w:w="1251" w:type="dxa"/>
            <w:tcBorders>
              <w:top w:val="single" w:color="000000" w:sz="4" w:space="0"/>
              <w:left w:val="single" w:color="000000" w:sz="4" w:space="0"/>
              <w:bottom w:val="single" w:color="000000" w:sz="4" w:space="0"/>
              <w:right w:val="single" w:color="000000" w:sz="4" w:space="0"/>
            </w:tcBorders>
            <w:shd w:val="clear"/>
            <w:vAlign w:val="center"/>
          </w:tcPr>
          <w:p w14:paraId="099460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360" w:type="dxa"/>
            <w:tcBorders>
              <w:top w:val="single" w:color="000000" w:sz="4" w:space="0"/>
              <w:left w:val="single" w:color="000000" w:sz="4" w:space="0"/>
              <w:bottom w:val="single" w:color="000000" w:sz="4" w:space="0"/>
              <w:right w:val="single" w:color="000000" w:sz="4" w:space="0"/>
            </w:tcBorders>
            <w:shd w:val="clear"/>
            <w:vAlign w:val="center"/>
          </w:tcPr>
          <w:p w14:paraId="19B0CA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是(全场景)</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3B536D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517" w:type="dxa"/>
            <w:tcBorders>
              <w:top w:val="single" w:color="000000" w:sz="4" w:space="0"/>
              <w:left w:val="single" w:color="000000" w:sz="4" w:space="0"/>
              <w:bottom w:val="single" w:color="000000" w:sz="4" w:space="0"/>
              <w:right w:val="single" w:color="000000" w:sz="4" w:space="0"/>
            </w:tcBorders>
            <w:shd w:val="clear"/>
            <w:vAlign w:val="center"/>
          </w:tcPr>
          <w:p w14:paraId="294ABE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是(全场景)</w:t>
            </w:r>
          </w:p>
        </w:tc>
        <w:tc>
          <w:tcPr>
            <w:tcW w:w="1478" w:type="dxa"/>
            <w:tcBorders>
              <w:top w:val="single" w:color="000000" w:sz="4" w:space="0"/>
              <w:left w:val="single" w:color="000000" w:sz="4" w:space="0"/>
              <w:bottom w:val="single" w:color="000000" w:sz="4" w:space="0"/>
              <w:right w:val="single" w:color="000000" w:sz="4" w:space="0"/>
            </w:tcBorders>
            <w:shd w:val="clear"/>
            <w:vAlign w:val="center"/>
          </w:tcPr>
          <w:p w14:paraId="7FC5A8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252" w:type="dxa"/>
            <w:tcBorders>
              <w:top w:val="single" w:color="000000" w:sz="4" w:space="0"/>
              <w:left w:val="single" w:color="000000" w:sz="4" w:space="0"/>
              <w:bottom w:val="single" w:color="000000" w:sz="4" w:space="0"/>
              <w:right w:val="single" w:color="000000" w:sz="4" w:space="0"/>
            </w:tcBorders>
            <w:shd w:val="clear"/>
            <w:vAlign w:val="center"/>
          </w:tcPr>
          <w:p w14:paraId="18B857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726" w:type="dxa"/>
            <w:tcBorders>
              <w:top w:val="single" w:color="000000" w:sz="4" w:space="0"/>
              <w:left w:val="single" w:color="000000" w:sz="4" w:space="0"/>
              <w:bottom w:val="single" w:color="000000" w:sz="4" w:space="0"/>
              <w:right w:val="single" w:color="000000" w:sz="4" w:space="0"/>
            </w:tcBorders>
            <w:shd w:val="clear"/>
            <w:vAlign w:val="center"/>
          </w:tcPr>
          <w:p w14:paraId="5E71D1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r>
      <w:tr w14:paraId="31CDB6CA">
        <w:trPr>
          <w:trHeight w:val="680" w:hRule="atLeast"/>
        </w:trPr>
        <w:tc>
          <w:tcPr>
            <w:tcW w:w="2197" w:type="dxa"/>
            <w:tcBorders>
              <w:top w:val="single" w:color="000000" w:sz="4" w:space="0"/>
              <w:left w:val="single" w:color="000000" w:sz="4" w:space="0"/>
              <w:bottom w:val="single" w:color="000000" w:sz="4" w:space="0"/>
              <w:right w:val="single" w:color="000000" w:sz="4" w:space="0"/>
            </w:tcBorders>
            <w:shd w:val="clear"/>
            <w:vAlign w:val="center"/>
          </w:tcPr>
          <w:p w14:paraId="55DE11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G5-门店治理-强</w:t>
            </w:r>
          </w:p>
        </w:tc>
        <w:tc>
          <w:tcPr>
            <w:tcW w:w="1251" w:type="dxa"/>
            <w:tcBorders>
              <w:top w:val="single" w:color="000000" w:sz="4" w:space="0"/>
              <w:left w:val="single" w:color="000000" w:sz="4" w:space="0"/>
              <w:bottom w:val="single" w:color="000000" w:sz="4" w:space="0"/>
              <w:right w:val="single" w:color="000000" w:sz="4" w:space="0"/>
            </w:tcBorders>
            <w:shd w:val="clear"/>
            <w:vAlign w:val="center"/>
          </w:tcPr>
          <w:p w14:paraId="632FBB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360" w:type="dxa"/>
            <w:tcBorders>
              <w:top w:val="single" w:color="000000" w:sz="4" w:space="0"/>
              <w:left w:val="single" w:color="000000" w:sz="4" w:space="0"/>
              <w:bottom w:val="single" w:color="000000" w:sz="4" w:space="0"/>
              <w:right w:val="single" w:color="000000" w:sz="4" w:space="0"/>
            </w:tcBorders>
            <w:shd w:val="clear"/>
            <w:vAlign w:val="center"/>
          </w:tcPr>
          <w:p w14:paraId="6CAB8E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是(全场景)</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338E86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是(全场景)</w:t>
            </w:r>
          </w:p>
        </w:tc>
        <w:tc>
          <w:tcPr>
            <w:tcW w:w="1517" w:type="dxa"/>
            <w:tcBorders>
              <w:top w:val="single" w:color="000000" w:sz="4" w:space="0"/>
              <w:left w:val="single" w:color="000000" w:sz="4" w:space="0"/>
              <w:bottom w:val="single" w:color="000000" w:sz="4" w:space="0"/>
              <w:right w:val="single" w:color="000000" w:sz="4" w:space="0"/>
            </w:tcBorders>
            <w:shd w:val="clear"/>
            <w:vAlign w:val="center"/>
          </w:tcPr>
          <w:p w14:paraId="706DC5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478" w:type="dxa"/>
            <w:tcBorders>
              <w:top w:val="single" w:color="000000" w:sz="4" w:space="0"/>
              <w:left w:val="single" w:color="000000" w:sz="4" w:space="0"/>
              <w:bottom w:val="single" w:color="000000" w:sz="4" w:space="0"/>
              <w:right w:val="single" w:color="000000" w:sz="4" w:space="0"/>
            </w:tcBorders>
            <w:shd w:val="clear"/>
            <w:vAlign w:val="center"/>
          </w:tcPr>
          <w:p w14:paraId="146E32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是(全场景)</w:t>
            </w:r>
          </w:p>
        </w:tc>
        <w:tc>
          <w:tcPr>
            <w:tcW w:w="1252" w:type="dxa"/>
            <w:tcBorders>
              <w:top w:val="single" w:color="000000" w:sz="4" w:space="0"/>
              <w:left w:val="single" w:color="000000" w:sz="4" w:space="0"/>
              <w:bottom w:val="single" w:color="000000" w:sz="4" w:space="0"/>
              <w:right w:val="single" w:color="000000" w:sz="4" w:space="0"/>
            </w:tcBorders>
            <w:shd w:val="clear"/>
            <w:vAlign w:val="center"/>
          </w:tcPr>
          <w:p w14:paraId="1B6BDE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726" w:type="dxa"/>
            <w:tcBorders>
              <w:top w:val="single" w:color="000000" w:sz="4" w:space="0"/>
              <w:left w:val="single" w:color="000000" w:sz="4" w:space="0"/>
              <w:bottom w:val="single" w:color="000000" w:sz="4" w:space="0"/>
              <w:right w:val="single" w:color="000000" w:sz="4" w:space="0"/>
            </w:tcBorders>
            <w:shd w:val="clear"/>
            <w:vAlign w:val="center"/>
          </w:tcPr>
          <w:p w14:paraId="3091FC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r>
      <w:tr w14:paraId="107824A4">
        <w:trPr>
          <w:trHeight w:val="680" w:hRule="atLeast"/>
        </w:trPr>
        <w:tc>
          <w:tcPr>
            <w:tcW w:w="2197" w:type="dxa"/>
            <w:tcBorders>
              <w:top w:val="single" w:color="000000" w:sz="4" w:space="0"/>
              <w:left w:val="single" w:color="000000" w:sz="4" w:space="0"/>
              <w:bottom w:val="single" w:color="000000" w:sz="4" w:space="0"/>
              <w:right w:val="single" w:color="000000" w:sz="4" w:space="0"/>
            </w:tcBorders>
            <w:shd w:val="clear"/>
            <w:vAlign w:val="center"/>
          </w:tcPr>
          <w:p w14:paraId="59EE84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G6-联合治理-强</w:t>
            </w:r>
          </w:p>
        </w:tc>
        <w:tc>
          <w:tcPr>
            <w:tcW w:w="1251" w:type="dxa"/>
            <w:tcBorders>
              <w:top w:val="single" w:color="000000" w:sz="4" w:space="0"/>
              <w:left w:val="single" w:color="000000" w:sz="4" w:space="0"/>
              <w:bottom w:val="single" w:color="000000" w:sz="4" w:space="0"/>
              <w:right w:val="single" w:color="000000" w:sz="4" w:space="0"/>
            </w:tcBorders>
            <w:shd w:val="clear"/>
            <w:vAlign w:val="center"/>
          </w:tcPr>
          <w:p w14:paraId="3478E9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c>
          <w:tcPr>
            <w:tcW w:w="1360" w:type="dxa"/>
            <w:tcBorders>
              <w:top w:val="single" w:color="000000" w:sz="4" w:space="0"/>
              <w:left w:val="single" w:color="000000" w:sz="4" w:space="0"/>
              <w:bottom w:val="single" w:color="000000" w:sz="4" w:space="0"/>
              <w:right w:val="single" w:color="000000" w:sz="4" w:space="0"/>
            </w:tcBorders>
            <w:shd w:val="clear"/>
            <w:vAlign w:val="center"/>
          </w:tcPr>
          <w:p w14:paraId="5A0CE5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4699EC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c>
          <w:tcPr>
            <w:tcW w:w="1517" w:type="dxa"/>
            <w:tcBorders>
              <w:top w:val="single" w:color="000000" w:sz="4" w:space="0"/>
              <w:left w:val="single" w:color="000000" w:sz="4" w:space="0"/>
              <w:bottom w:val="single" w:color="000000" w:sz="4" w:space="0"/>
              <w:right w:val="single" w:color="000000" w:sz="4" w:space="0"/>
            </w:tcBorders>
            <w:shd w:val="clear"/>
            <w:vAlign w:val="center"/>
          </w:tcPr>
          <w:p w14:paraId="35FE9F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1478" w:type="dxa"/>
            <w:tcBorders>
              <w:top w:val="single" w:color="000000" w:sz="4" w:space="0"/>
              <w:left w:val="single" w:color="000000" w:sz="4" w:space="0"/>
              <w:bottom w:val="single" w:color="000000" w:sz="4" w:space="0"/>
              <w:right w:val="single" w:color="000000" w:sz="4" w:space="0"/>
            </w:tcBorders>
            <w:shd w:val="clear"/>
            <w:vAlign w:val="center"/>
          </w:tcPr>
          <w:p w14:paraId="267868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c>
          <w:tcPr>
            <w:tcW w:w="1252" w:type="dxa"/>
            <w:tcBorders>
              <w:top w:val="single" w:color="000000" w:sz="4" w:space="0"/>
              <w:left w:val="single" w:color="000000" w:sz="4" w:space="0"/>
              <w:bottom w:val="single" w:color="000000" w:sz="4" w:space="0"/>
              <w:right w:val="single" w:color="000000" w:sz="4" w:space="0"/>
            </w:tcBorders>
            <w:shd w:val="clear"/>
            <w:vAlign w:val="center"/>
          </w:tcPr>
          <w:p w14:paraId="3D834A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否</w:t>
            </w:r>
          </w:p>
        </w:tc>
        <w:tc>
          <w:tcPr>
            <w:tcW w:w="726" w:type="dxa"/>
            <w:tcBorders>
              <w:top w:val="single" w:color="000000" w:sz="4" w:space="0"/>
              <w:left w:val="single" w:color="000000" w:sz="4" w:space="0"/>
              <w:bottom w:val="single" w:color="000000" w:sz="4" w:space="0"/>
              <w:right w:val="single" w:color="000000" w:sz="4" w:space="0"/>
            </w:tcBorders>
            <w:shd w:val="clear"/>
            <w:vAlign w:val="center"/>
          </w:tcPr>
          <w:p w14:paraId="54B051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r>
      <w:tr w14:paraId="73766B9B">
        <w:trPr>
          <w:trHeight w:val="1360" w:hRule="atLeast"/>
        </w:trPr>
        <w:tc>
          <w:tcPr>
            <w:tcW w:w="2197" w:type="dxa"/>
            <w:tcBorders>
              <w:top w:val="single" w:color="000000" w:sz="4" w:space="0"/>
              <w:left w:val="single" w:color="000000" w:sz="4" w:space="0"/>
              <w:bottom w:val="single" w:color="000000" w:sz="4" w:space="0"/>
              <w:right w:val="single" w:color="000000" w:sz="4" w:space="0"/>
            </w:tcBorders>
            <w:shd w:val="clear"/>
            <w:vAlign w:val="center"/>
          </w:tcPr>
          <w:p w14:paraId="38C9BB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G7-联合治理-强(高危限定)</w:t>
            </w:r>
          </w:p>
        </w:tc>
        <w:tc>
          <w:tcPr>
            <w:tcW w:w="1251" w:type="dxa"/>
            <w:tcBorders>
              <w:top w:val="single" w:color="000000" w:sz="4" w:space="0"/>
              <w:left w:val="single" w:color="000000" w:sz="4" w:space="0"/>
              <w:bottom w:val="single" w:color="000000" w:sz="4" w:space="0"/>
              <w:right w:val="single" w:color="000000" w:sz="4" w:space="0"/>
            </w:tcBorders>
            <w:shd w:val="clear"/>
            <w:vAlign w:val="center"/>
          </w:tcPr>
          <w:p w14:paraId="58CEC2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c>
          <w:tcPr>
            <w:tcW w:w="1360" w:type="dxa"/>
            <w:tcBorders>
              <w:top w:val="single" w:color="000000" w:sz="4" w:space="0"/>
              <w:left w:val="single" w:color="000000" w:sz="4" w:space="0"/>
              <w:bottom w:val="single" w:color="000000" w:sz="4" w:space="0"/>
              <w:right w:val="single" w:color="000000" w:sz="4" w:space="0"/>
            </w:tcBorders>
            <w:shd w:val="clear"/>
            <w:vAlign w:val="center"/>
          </w:tcPr>
          <w:p w14:paraId="6D20D2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c>
          <w:tcPr>
            <w:tcW w:w="1625" w:type="dxa"/>
            <w:tcBorders>
              <w:top w:val="single" w:color="000000" w:sz="4" w:space="0"/>
              <w:left w:val="single" w:color="000000" w:sz="4" w:space="0"/>
              <w:bottom w:val="single" w:color="000000" w:sz="4" w:space="0"/>
              <w:right w:val="single" w:color="000000" w:sz="4" w:space="0"/>
            </w:tcBorders>
            <w:shd w:val="clear"/>
            <w:vAlign w:val="center"/>
          </w:tcPr>
          <w:p w14:paraId="1A29A5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c>
          <w:tcPr>
            <w:tcW w:w="1517" w:type="dxa"/>
            <w:tcBorders>
              <w:top w:val="single" w:color="000000" w:sz="4" w:space="0"/>
              <w:left w:val="single" w:color="000000" w:sz="4" w:space="0"/>
              <w:bottom w:val="single" w:color="000000" w:sz="4" w:space="0"/>
              <w:right w:val="single" w:color="000000" w:sz="4" w:space="0"/>
            </w:tcBorders>
            <w:shd w:val="clear"/>
            <w:vAlign w:val="center"/>
          </w:tcPr>
          <w:p w14:paraId="2713A9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是(非高危query)</w:t>
            </w:r>
          </w:p>
        </w:tc>
        <w:tc>
          <w:tcPr>
            <w:tcW w:w="1478" w:type="dxa"/>
            <w:tcBorders>
              <w:top w:val="single" w:color="000000" w:sz="4" w:space="0"/>
              <w:left w:val="single" w:color="000000" w:sz="4" w:space="0"/>
              <w:bottom w:val="single" w:color="000000" w:sz="4" w:space="0"/>
              <w:right w:val="single" w:color="000000" w:sz="4" w:space="0"/>
            </w:tcBorders>
            <w:shd w:val="clear"/>
            <w:vAlign w:val="center"/>
          </w:tcPr>
          <w:p w14:paraId="30B83E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是(高危query)</w:t>
            </w:r>
          </w:p>
        </w:tc>
        <w:tc>
          <w:tcPr>
            <w:tcW w:w="1252" w:type="dxa"/>
            <w:tcBorders>
              <w:top w:val="single" w:color="000000" w:sz="4" w:space="0"/>
              <w:left w:val="single" w:color="000000" w:sz="4" w:space="0"/>
              <w:bottom w:val="single" w:color="000000" w:sz="4" w:space="0"/>
              <w:right w:val="single" w:color="000000" w:sz="4" w:space="0"/>
            </w:tcBorders>
            <w:shd w:val="clear"/>
            <w:vAlign w:val="center"/>
          </w:tcPr>
          <w:p w14:paraId="2796A4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c>
          <w:tcPr>
            <w:tcW w:w="726" w:type="dxa"/>
            <w:tcBorders>
              <w:top w:val="single" w:color="000000" w:sz="4" w:space="0"/>
              <w:left w:val="single" w:color="000000" w:sz="4" w:space="0"/>
              <w:bottom w:val="single" w:color="000000" w:sz="4" w:space="0"/>
              <w:right w:val="single" w:color="000000" w:sz="4" w:space="0"/>
            </w:tcBorders>
            <w:shd w:val="clear"/>
            <w:vAlign w:val="center"/>
          </w:tcPr>
          <w:p w14:paraId="483F6E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是</w:t>
            </w:r>
          </w:p>
        </w:tc>
      </w:tr>
    </w:tbl>
    <w:p w14:paraId="76A35B1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C8706F8">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说明：</w:t>
      </w:r>
    </w:p>
    <w:p w14:paraId="37BBA884">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AA验证打点/算分链路：G0 vs G1（理论上核心指标不应系统性变化）</w:t>
      </w:r>
    </w:p>
    <w:p w14:paraId="57F3EA8B">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纯商品治理（spu）：G0 vs G2(软) vs G3(强)</w:t>
      </w:r>
    </w:p>
    <w:p w14:paraId="6657E9AE">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纯门店治理（poi）：G0 vs G4(软) vs G5(强)</w:t>
      </w:r>
    </w:p>
    <w:p w14:paraId="39DA3630">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融合增益（spu+poi）：G5(只有poi强) vs G6(融合强)</w:t>
      </w:r>
    </w:p>
    <w:p w14:paraId="1B5E4405">
      <w:pPr>
        <w:pStyle w:val="4"/>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default" w:ascii="Calibri" w:hAnsi="Calibri" w:eastAsia="宋体"/>
          <w:sz w:val="24"/>
          <w:lang w:val="en-US" w:eastAsia="zh-CN"/>
        </w:rPr>
        <w:t>生效范围（控损）：G6(全量强) vs G7(高危限定)</w:t>
      </w:r>
    </w:p>
    <w:p w14:paraId="3F373916">
      <w:pPr>
        <w:pStyle w:val="4"/>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149FD64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6.2 核心指标</w:t>
      </w:r>
    </w:p>
    <w:p w14:paraId="460CFB95">
      <w:pPr>
        <w:pStyle w:val="4"/>
        <w:keepNext w:val="0"/>
        <w:keepLines w:val="0"/>
        <w:widowControl/>
        <w:suppressLineNumbers w:val="0"/>
        <w:spacing w:before="0" w:beforeAutospacing="0" w:after="0" w:afterAutospacing="0" w:line="360" w:lineRule="auto"/>
        <w:ind w:left="0" w:right="0" w:firstLine="420"/>
        <w:jc w:val="both"/>
      </w:pPr>
      <w:r>
        <w:drawing>
          <wp:inline distT="0" distB="0" distL="114300" distR="114300">
            <wp:extent cx="5266690" cy="2569845"/>
            <wp:effectExtent l="0" t="0" r="16510" b="2095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6"/>
                    <a:stretch>
                      <a:fillRect/>
                    </a:stretch>
                  </pic:blipFill>
                  <pic:spPr>
                    <a:xfrm>
                      <a:off x="0" y="0"/>
                      <a:ext cx="5266690" cy="2569845"/>
                    </a:xfrm>
                    <a:prstGeom prst="rect">
                      <a:avLst/>
                    </a:prstGeom>
                    <a:noFill/>
                    <a:ln>
                      <a:noFill/>
                    </a:ln>
                  </pic:spPr>
                </pic:pic>
              </a:graphicData>
            </a:graphic>
          </wp:inline>
        </w:drawing>
      </w:r>
    </w:p>
    <w:p w14:paraId="28DBE751">
      <w:pPr>
        <w:pStyle w:val="4"/>
        <w:keepNext w:val="0"/>
        <w:keepLines w:val="0"/>
        <w:widowControl/>
        <w:suppressLineNumbers w:val="0"/>
        <w:spacing w:before="0" w:beforeAutospacing="0" w:after="0" w:afterAutospacing="0" w:line="360" w:lineRule="auto"/>
        <w:ind w:left="0" w:right="0" w:firstLine="420"/>
        <w:jc w:val="both"/>
      </w:pPr>
    </w:p>
    <w:p w14:paraId="1D852DE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6.3 分场景核心效果</w:t>
      </w:r>
    </w:p>
    <w:p w14:paraId="4866A661">
      <w:pPr>
        <w:pStyle w:val="4"/>
        <w:keepNext w:val="0"/>
        <w:keepLines w:val="0"/>
        <w:widowControl/>
        <w:suppressLineNumbers w:val="0"/>
        <w:spacing w:before="0" w:beforeAutospacing="0" w:after="0" w:afterAutospacing="0" w:line="360" w:lineRule="auto"/>
        <w:ind w:left="0" w:right="0" w:firstLine="420"/>
        <w:jc w:val="both"/>
      </w:pPr>
      <w:r>
        <w:drawing>
          <wp:inline distT="0" distB="0" distL="114300" distR="114300">
            <wp:extent cx="5264150" cy="1922145"/>
            <wp:effectExtent l="0" t="0" r="19050" b="825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7"/>
                    <a:stretch>
                      <a:fillRect/>
                    </a:stretch>
                  </pic:blipFill>
                  <pic:spPr>
                    <a:xfrm>
                      <a:off x="0" y="0"/>
                      <a:ext cx="5264150" cy="1922145"/>
                    </a:xfrm>
                    <a:prstGeom prst="rect">
                      <a:avLst/>
                    </a:prstGeom>
                    <a:noFill/>
                    <a:ln>
                      <a:noFill/>
                    </a:ln>
                  </pic:spPr>
                </pic:pic>
              </a:graphicData>
            </a:graphic>
          </wp:inline>
        </w:drawing>
      </w:r>
    </w:p>
    <w:p w14:paraId="4C231630">
      <w:pPr>
        <w:pStyle w:val="4"/>
        <w:keepNext w:val="0"/>
        <w:keepLines w:val="0"/>
        <w:widowControl/>
        <w:suppressLineNumbers w:val="0"/>
        <w:spacing w:before="0" w:beforeAutospacing="0" w:after="0" w:afterAutospacing="0" w:line="360" w:lineRule="auto"/>
        <w:ind w:left="0" w:right="0" w:firstLine="420"/>
        <w:jc w:val="both"/>
      </w:pPr>
    </w:p>
    <w:p w14:paraId="3D6654A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6.4 过程指标</w:t>
      </w:r>
    </w:p>
    <w:p w14:paraId="3A9DE955">
      <w:pPr>
        <w:pStyle w:val="4"/>
        <w:keepNext w:val="0"/>
        <w:keepLines w:val="0"/>
        <w:widowControl/>
        <w:suppressLineNumbers w:val="0"/>
        <w:spacing w:before="0" w:beforeAutospacing="0" w:after="0" w:afterAutospacing="0" w:line="360" w:lineRule="auto"/>
        <w:ind w:left="0" w:right="0" w:firstLine="420"/>
        <w:jc w:val="both"/>
      </w:pPr>
      <w:r>
        <w:drawing>
          <wp:inline distT="0" distB="0" distL="114300" distR="114300">
            <wp:extent cx="5268595" cy="1694180"/>
            <wp:effectExtent l="0" t="0" r="14605" b="762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8"/>
                    <a:stretch>
                      <a:fillRect/>
                    </a:stretch>
                  </pic:blipFill>
                  <pic:spPr>
                    <a:xfrm>
                      <a:off x="0" y="0"/>
                      <a:ext cx="5268595" cy="1694180"/>
                    </a:xfrm>
                    <a:prstGeom prst="rect">
                      <a:avLst/>
                    </a:prstGeom>
                    <a:noFill/>
                    <a:ln>
                      <a:noFill/>
                    </a:ln>
                  </pic:spPr>
                </pic:pic>
              </a:graphicData>
            </a:graphic>
          </wp:inline>
        </w:drawing>
      </w:r>
    </w:p>
    <w:p w14:paraId="493658BB">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p>
    <w:p w14:paraId="741606D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6.5 指标效果说明</w:t>
      </w:r>
    </w:p>
    <w:p w14:paraId="2814753C">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-G1：AA通过，证明算分链路可用。</w:t>
      </w:r>
    </w:p>
    <w:p w14:paraId="3BE2E9A3">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-G2：商品软治理，性价比高、风险小，收益集中在商品流/频道搜。</w:t>
      </w:r>
    </w:p>
    <w:p w14:paraId="6E92614B">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-G3：商品强治理，风险压得更深，但缺位&amp;误伤开始显著，需要限范围/抬阈值。</w:t>
      </w:r>
    </w:p>
    <w:p w14:paraId="250FE026">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-G4：门店软治理，投诉差评改善更明显，收益主要在商家流。</w:t>
      </w:r>
    </w:p>
    <w:p w14:paraId="34499836">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-G5：门店强治理，商家流效果很强，但缺位与误伤风险最大，必须加样本量/同城同类基准/高危限定。</w:t>
      </w:r>
    </w:p>
    <w:p w14:paraId="09DEF01F">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-G6：融合强治理，最贴目标、效果最强，重点盯时延与强动作触发面。</w:t>
      </w:r>
    </w:p>
    <w:p w14:paraId="715ECC0A">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-G7：融合强治理但高危限定，效果略弱于G6但更稳，最适合“第一阶段上线形态”。</w:t>
      </w:r>
    </w:p>
    <w:p w14:paraId="45F38BF6">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p>
    <w:p w14:paraId="5EE9D6A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7870" cy="7992110"/>
            <wp:effectExtent l="0" t="0" r="24130" b="8890"/>
            <wp:docPr id="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6"/>
                    <pic:cNvPicPr>
                      <a:picLocks noChangeAspect="1"/>
                    </pic:cNvPicPr>
                  </pic:nvPicPr>
                  <pic:blipFill>
                    <a:blip r:embed="rId9"/>
                    <a:stretch>
                      <a:fillRect/>
                    </a:stretch>
                  </pic:blipFill>
                  <pic:spPr>
                    <a:xfrm>
                      <a:off x="0" y="0"/>
                      <a:ext cx="5817870" cy="7992110"/>
                    </a:xfrm>
                    <a:prstGeom prst="rect">
                      <a:avLst/>
                    </a:prstGeom>
                    <a:noFill/>
                    <a:ln w="9525">
                      <a:noFill/>
                    </a:ln>
                  </pic:spPr>
                </pic:pic>
              </a:graphicData>
            </a:graphic>
          </wp:inline>
        </w:drawing>
      </w:r>
    </w:p>
    <w:p w14:paraId="7D87B83E">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p>
    <w:p w14:paraId="34BED42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b/>
          <w:bCs/>
          <w:sz w:val="36"/>
          <w:szCs w:val="36"/>
          <w:lang w:val="en-US" w:eastAsia="zh-CN"/>
        </w:rPr>
      </w:pPr>
      <w:r>
        <w:rPr>
          <w:rFonts w:hint="eastAsia"/>
          <w:b/>
          <w:bCs/>
          <w:sz w:val="36"/>
          <w:szCs w:val="36"/>
          <w:lang w:val="en-US" w:eastAsia="zh-CN"/>
        </w:rPr>
        <w:t>7 项目复盘</w:t>
      </w:r>
    </w:p>
    <w:p w14:paraId="4EBC501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7.1 项目STAR</w:t>
      </w:r>
    </w:p>
    <w:p w14:paraId="7CFCB395">
      <w:pPr>
        <w:pStyle w:val="4"/>
        <w:keepNext w:val="0"/>
        <w:keepLines w:val="0"/>
        <w:widowControl/>
        <w:suppressLineNumbers w:val="0"/>
        <w:spacing w:before="0" w:beforeAutospacing="0" w:after="0" w:afterAutospacing="0" w:line="360" w:lineRule="auto"/>
        <w:ind w:left="0" w:right="0" w:firstLine="420"/>
        <w:jc w:val="both"/>
        <w:rPr>
          <w:rFonts w:hint="eastAsia"/>
          <w:b/>
          <w:bCs/>
          <w:lang w:val="en-US" w:eastAsia="zh-CN"/>
        </w:rPr>
      </w:pPr>
      <w:r>
        <w:rPr>
          <w:rFonts w:hint="eastAsia"/>
          <w:b/>
          <w:bCs/>
          <w:lang w:val="en-US" w:eastAsia="zh-CN"/>
        </w:rPr>
        <w:t>项目背景</w:t>
      </w:r>
    </w:p>
    <w:p w14:paraId="44C92380">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搜索已从“能搜到”升级为“要搜得放心”。在医药&amp;成人用品等敏感场景，商品侧混淆/擦边/夸大与商家侧履约差/服务差/资质问题叠加，导致风险供给在Top20首屏决策区“抢点击、吃成交”，用户信任下降、负反馈上升，且存在合规与舆情风险。平台需要一套覆盖“商品+门店”的搜索流量治理能力，但受系统成本与风险控制约束，采用“先商品后门店、先灰度后放量”的分期推进策略。</w:t>
      </w:r>
    </w:p>
    <w:p w14:paraId="1FE63FF8">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p>
    <w:p w14:paraId="449748A3">
      <w:pPr>
        <w:pStyle w:val="4"/>
        <w:keepNext w:val="0"/>
        <w:keepLines w:val="0"/>
        <w:widowControl/>
        <w:suppressLineNumbers w:val="0"/>
        <w:spacing w:before="0" w:beforeAutospacing="0" w:after="0" w:afterAutospacing="0" w:line="360" w:lineRule="auto"/>
        <w:ind w:left="0" w:right="0" w:firstLine="420"/>
        <w:jc w:val="both"/>
        <w:rPr>
          <w:rFonts w:hint="eastAsia"/>
          <w:b/>
          <w:bCs/>
          <w:lang w:val="en-US" w:eastAsia="zh-CN"/>
        </w:rPr>
      </w:pPr>
      <w:r>
        <w:rPr>
          <w:rFonts w:hint="eastAsia"/>
          <w:b/>
          <w:bCs/>
          <w:lang w:val="en-US" w:eastAsia="zh-CN"/>
        </w:rPr>
        <w:t>项目目标</w:t>
      </w:r>
    </w:p>
    <w:p w14:paraId="4443293D">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北极星指标：CXR提升、负反馈下降（投诉率、差评率）。</w:t>
      </w:r>
    </w:p>
    <w:p w14:paraId="038F2082">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核心结果指标（Top20口径）：风险点击占比显著下降，并在三大场景均落到目标区间。</w:t>
      </w:r>
    </w:p>
    <w:p w14:paraId="165DE865">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护栏指标：GMV不破线、ASN/缺位率不显著恶化、CTR保持稳定，小流量灰度可解释可回滚。</w:t>
      </w:r>
    </w:p>
    <w:p w14:paraId="239F8B98">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过程指标：时延可控、误伤率可诊断可收敛。</w:t>
      </w:r>
    </w:p>
    <w:p w14:paraId="37BB3FF5">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p>
    <w:p w14:paraId="54CA895D">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项目动作</w:t>
      </w:r>
    </w:p>
    <w:p w14:paraId="086A99B3">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1、风险识别与离线打分体系</w:t>
      </w:r>
    </w:p>
    <w:p w14:paraId="7D535644">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2、三层治理执行（召回+精排+重排）</w:t>
      </w:r>
    </w:p>
    <w:p w14:paraId="41A85DB8">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3、兜底与预警机制</w:t>
      </w:r>
    </w:p>
    <w:p w14:paraId="1876A5C2">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p>
    <w:p w14:paraId="22B0518E">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项目结果</w:t>
      </w:r>
    </w:p>
    <w:p w14:paraId="792DA2EA">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三场景同步达效（G7）：外卖搜商家流风险点击占比6.60%，CXR0.22%；外卖搜商品流8.40%，CXR0.32%；频道搜6.90%，CXR0.52%。</w:t>
      </w:r>
    </w:p>
    <w:p w14:paraId="090CEDB0">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对比更激进形态（G6全量联合强）：风险点击占比可进一步压到6.98%（-2.47pp），但强动作触发率更高（3.41%）且兜底依赖更强（0.08%），因此先以G7稳态上线，再逐步向G6逼近。</w:t>
      </w:r>
    </w:p>
    <w:p w14:paraId="36287AF9">
      <w:pPr>
        <w:pStyle w:val="4"/>
        <w:keepNext w:val="0"/>
        <w:keepLines w:val="0"/>
        <w:widowControl/>
        <w:suppressLineNumbers w:val="0"/>
        <w:spacing w:before="0" w:beforeAutospacing="0" w:after="0" w:afterAutospacing="0" w:line="360" w:lineRule="auto"/>
        <w:ind w:left="0" w:right="0" w:firstLine="420"/>
        <w:jc w:val="both"/>
        <w:rPr>
          <w:rFonts w:hint="default"/>
          <w:lang w:val="en-US" w:eastAsia="zh-CN"/>
        </w:rPr>
      </w:pPr>
    </w:p>
    <w:p w14:paraId="2ACD725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7.2 项目优化点</w:t>
      </w:r>
    </w:p>
    <w:p w14:paraId="24F891F8">
      <w:pPr>
        <w:pStyle w:val="4"/>
        <w:keepNext w:val="0"/>
        <w:keepLines w:val="0"/>
        <w:widowControl/>
        <w:suppressLineNumbers w:val="0"/>
        <w:spacing w:before="0" w:beforeAutospacing="0" w:after="0" w:afterAutospacing="0" w:line="360" w:lineRule="auto"/>
        <w:ind w:left="0" w:right="0" w:firstLine="420"/>
        <w:jc w:val="both"/>
        <w:rPr>
          <w:rFonts w:hint="eastAsia"/>
          <w:b/>
          <w:bCs/>
          <w:lang w:val="en-US" w:eastAsia="zh-CN"/>
        </w:rPr>
      </w:pPr>
      <w:r>
        <w:rPr>
          <w:rFonts w:hint="eastAsia"/>
          <w:b/>
          <w:bCs/>
          <w:lang w:val="en-US" w:eastAsia="zh-CN"/>
        </w:rPr>
        <w:t>优化点1:阈值与动作从“全局一套”升级为“分场景+分query类型自适应”</w:t>
      </w:r>
    </w:p>
    <w:p w14:paraId="7C40D04C">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做法：按商家流/商品流/频道搜分别拟合Top5点击贡献与位置衰减曲线，阈值从90/80/60升级为场景阈值；对品牌词混淆/相似品牌/处方合规等高危query保留强动作，对非高危以软降权为主。</w:t>
      </w:r>
    </w:p>
    <w:p w14:paraId="2C794C5C">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目标：在不牺牲风险点击占比下降的前提下，进一步降低缺位率与兜底触发率，并压低误伤率。</w:t>
      </w:r>
    </w:p>
    <w:p w14:paraId="748EC001">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bookmarkStart w:id="0" w:name="_GoBack"/>
      <w:bookmarkEnd w:id="0"/>
    </w:p>
    <w:p w14:paraId="57B76A0F">
      <w:pPr>
        <w:pStyle w:val="4"/>
        <w:keepNext w:val="0"/>
        <w:keepLines w:val="0"/>
        <w:widowControl/>
        <w:suppressLineNumbers w:val="0"/>
        <w:spacing w:before="0" w:beforeAutospacing="0" w:after="0" w:afterAutospacing="0" w:line="360" w:lineRule="auto"/>
        <w:ind w:left="0" w:right="0" w:firstLine="420"/>
        <w:jc w:val="both"/>
        <w:rPr>
          <w:rFonts w:hint="eastAsia"/>
          <w:b/>
          <w:bCs/>
          <w:lang w:val="en-US" w:eastAsia="zh-CN"/>
        </w:rPr>
      </w:pPr>
      <w:r>
        <w:rPr>
          <w:rFonts w:hint="eastAsia"/>
          <w:b/>
          <w:bCs/>
          <w:lang w:val="en-US" w:eastAsia="zh-CN"/>
        </w:rPr>
        <w:t>优化点2:误伤治理闭环</w:t>
      </w:r>
    </w:p>
    <w:p w14:paraId="00C56B7B">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做法：把“误伤率”拆到具体原因码与风险类型(品牌不一致/规格不一致/夸大词命中/履约波动等)，建立TopN误伤样本自动回捞；对高频误伤加入白名单保护或规则豁免，并补充标注样本做对抗训练。</w:t>
      </w:r>
    </w:p>
    <w:p w14:paraId="1932BB79">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目标：将强动作误伤率从当前约11%~12%进一步压到&lt;10%，减少GMV波动与商家侧投诉。</w:t>
      </w:r>
    </w:p>
    <w:p w14:paraId="25D9AC07">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p>
    <w:p w14:paraId="46268868">
      <w:pPr>
        <w:pStyle w:val="4"/>
        <w:keepNext w:val="0"/>
        <w:keepLines w:val="0"/>
        <w:widowControl/>
        <w:suppressLineNumbers w:val="0"/>
        <w:spacing w:before="0" w:beforeAutospacing="0" w:after="0" w:afterAutospacing="0" w:line="360" w:lineRule="auto"/>
        <w:ind w:left="0" w:right="0" w:firstLine="420"/>
        <w:jc w:val="both"/>
        <w:rPr>
          <w:rFonts w:hint="default"/>
          <w:b/>
          <w:bCs/>
          <w:lang w:val="en-US" w:eastAsia="zh-CN"/>
        </w:rPr>
      </w:pPr>
      <w:r>
        <w:rPr>
          <w:rFonts w:hint="eastAsia"/>
          <w:b/>
          <w:bCs/>
          <w:lang w:val="en-US" w:eastAsia="zh-CN"/>
        </w:rPr>
        <w:t>优化点3:门店风险评分“抗波动”与“最小样本量”机制</w:t>
      </w:r>
    </w:p>
    <w:p w14:paraId="3923133D">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做法：对履约/投诉差评指标引入置信度与样本量门槛(订单量/曝光量不足不触发强动作)，并引入同城同类基线的稳健统计（如分位数+滑窗）；对短期异常先软降权+观察，连续异常再升级强动作。</w:t>
      </w:r>
    </w:p>
    <w:p w14:paraId="0350C9C9">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r>
        <w:rPr>
          <w:rFonts w:hint="eastAsia"/>
          <w:lang w:val="en-US" w:eastAsia="zh-CN"/>
        </w:rPr>
        <w:t>目标：降低门店强治理引发的缺位率与误伤风险，提升G5/G6形态的可放量性，为治理全面铺开做准备。</w:t>
      </w:r>
    </w:p>
    <w:p w14:paraId="529F483C">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p>
    <w:p w14:paraId="6C302F98">
      <w:pPr>
        <w:pStyle w:val="4"/>
        <w:keepNext w:val="0"/>
        <w:keepLines w:val="0"/>
        <w:widowControl/>
        <w:suppressLineNumbers w:val="0"/>
        <w:spacing w:before="0" w:beforeAutospacing="0" w:after="0" w:afterAutospacing="0" w:line="360" w:lineRule="auto"/>
        <w:ind w:left="0" w:right="0" w:firstLine="420"/>
        <w:jc w:val="both"/>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FEDCC"/>
    <w:rsid w:val="26F7BAD5"/>
    <w:rsid w:val="2FDF5046"/>
    <w:rsid w:val="31FB4A6C"/>
    <w:rsid w:val="362F4A42"/>
    <w:rsid w:val="3BE5E89F"/>
    <w:rsid w:val="3D09B3AD"/>
    <w:rsid w:val="5DDF35E7"/>
    <w:rsid w:val="5F68999A"/>
    <w:rsid w:val="5FFDD906"/>
    <w:rsid w:val="6BFD3D7A"/>
    <w:rsid w:val="71EE64AC"/>
    <w:rsid w:val="777E58B3"/>
    <w:rsid w:val="78FDAD4B"/>
    <w:rsid w:val="7FF564C7"/>
    <w:rsid w:val="B37EBB8F"/>
    <w:rsid w:val="B3EDC9F7"/>
    <w:rsid w:val="DA2F0CD6"/>
    <w:rsid w:val="DCAD5867"/>
    <w:rsid w:val="EB731E3B"/>
    <w:rsid w:val="EDE54371"/>
    <w:rsid w:val="EDEE4D21"/>
    <w:rsid w:val="F57FB536"/>
    <w:rsid w:val="F6EA0E7F"/>
    <w:rsid w:val="F77D565F"/>
    <w:rsid w:val="FDED332D"/>
    <w:rsid w:val="FDFAEF8B"/>
    <w:rsid w:val="FEFFEDCC"/>
    <w:rsid w:val="FF368FDC"/>
    <w:rsid w:val="FF62EBD0"/>
    <w:rsid w:val="FF7A06AA"/>
    <w:rsid w:val="FF7BA47F"/>
    <w:rsid w:val="FFEB1005"/>
    <w:rsid w:val="FFFF4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265</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2025-12-12T10:14:00Z</dcterms:created>
  <dc:creator>zhuzhaohui </dc:creator>
  <cp:lastModifiedBy>zhuzhaohui </cp:lastModifiedBy>
  <dcterms:modified xsi:type="dcterms:W3CDTF">2025-12-17T17:26:00Z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FF5BFA3920A05EA2E9093B690C6482F3_41</vt:lpwstr>
  </property>
</Properties>
</file>