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D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473EB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32D45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4F4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1575F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712F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0A93C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美团闪购加价换购接入RTB</w:t>
      </w:r>
    </w:p>
    <w:p w14:paraId="33813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130C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远程实习</w:t>
      </w:r>
    </w:p>
    <w:p w14:paraId="2EE2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</w:p>
    <w:p w14:paraId="01B8553B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</w:p>
    <w:p w14:paraId="5D2FEF72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br w:type="page"/>
      </w: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概述</w:t>
      </w:r>
    </w:p>
    <w:p w14:paraId="2B2EAD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【一站式推广】是美团为闪购商户提供的广告推广平台，旨在帮助商户通过精准营销提升品牌曝光、吸引客户并促进销售。通过一站式推广，闪购外卖商户可以在美团、大众点评、以及美团的其他相关平台上投放广告，以触达目标用户。</w:t>
      </w:r>
    </w:p>
    <w:p w14:paraId="66E6D9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4733925" cy="2505075"/>
            <wp:effectExtent l="0" t="0" r="158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9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7A71F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目前一站式推广仅支持商户按门店纬度一键投放广告。为了解决目前商户对单品推送的诉求，同时提升平台广告收入，在一站式推广产品的基础上，支持闪购商户定向选品进行广告投放。</w:t>
      </w:r>
    </w:p>
    <w:p w14:paraId="4B7692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行业：列表页广告（电商、本地生活等其他B2C）</w:t>
      </w:r>
    </w:p>
    <w:p w14:paraId="24BE7E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部门：核心本地商业-商业化增值-零售业务组</w:t>
      </w:r>
    </w:p>
    <w:p w14:paraId="0AA777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FDD00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产品：KA营销魔方</w:t>
      </w:r>
    </w:p>
    <w:p w14:paraId="38936A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时间：2025.6-2025.11</w:t>
      </w:r>
    </w:p>
    <w:p w14:paraId="27FDEC7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05CB4AE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5688F74A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364C335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9A4C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722AE9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55C7C41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3BFAC657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700DD7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4D5F95D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20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5CF0AD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2FB71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03844ED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33F9C5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，按订单计费</w:t>
      </w:r>
    </w:p>
    <w:p w14:paraId="0961C35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，按时间计费</w:t>
      </w:r>
    </w:p>
    <w:p w14:paraId="563809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3E0D1C5F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777E788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AB1A9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22C381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66644F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2C7C3D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1A614DC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2AC4978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6AD173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06263EF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7972F9C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B1E3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美团闪购具体广告产品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3898"/>
        <w:gridCol w:w="2184"/>
      </w:tblGrid>
      <w:tr w14:paraId="55C4F320">
        <w:tc>
          <w:tcPr>
            <w:tcW w:w="2440" w:type="dxa"/>
            <w:shd w:val="clear" w:color="auto" w:fill="F4B382" w:themeFill="accent2" w:themeFillTint="99"/>
          </w:tcPr>
          <w:p w14:paraId="7CBF46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3898" w:type="dxa"/>
            <w:shd w:val="clear" w:color="auto" w:fill="F4B382" w:themeFill="accent2" w:themeFillTint="99"/>
          </w:tcPr>
          <w:p w14:paraId="709F9F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使用场景</w:t>
            </w:r>
          </w:p>
        </w:tc>
        <w:tc>
          <w:tcPr>
            <w:tcW w:w="2184" w:type="dxa"/>
            <w:shd w:val="clear" w:color="auto" w:fill="F4B382" w:themeFill="accent2" w:themeFillTint="99"/>
          </w:tcPr>
          <w:p w14:paraId="25420C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计费方式</w:t>
            </w:r>
          </w:p>
        </w:tc>
      </w:tr>
      <w:tr w14:paraId="750C573A">
        <w:tc>
          <w:tcPr>
            <w:tcW w:w="2440" w:type="dxa"/>
          </w:tcPr>
          <w:p w14:paraId="249F7C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一站式推广/</w:t>
            </w:r>
          </w:p>
          <w:p w14:paraId="1CB7D6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KA营销魔方</w:t>
            </w:r>
          </w:p>
        </w:tc>
        <w:tc>
          <w:tcPr>
            <w:tcW w:w="3898" w:type="dxa"/>
          </w:tcPr>
          <w:p w14:paraId="336C7B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搜索、首页天降列表页</w:t>
            </w:r>
          </w:p>
        </w:tc>
        <w:tc>
          <w:tcPr>
            <w:tcW w:w="2184" w:type="dxa"/>
          </w:tcPr>
          <w:p w14:paraId="21A81D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CPC</w:t>
            </w:r>
          </w:p>
        </w:tc>
      </w:tr>
      <w:tr w14:paraId="155902CA">
        <w:tc>
          <w:tcPr>
            <w:tcW w:w="2440" w:type="dxa"/>
          </w:tcPr>
          <w:p w14:paraId="45927F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流量加速包</w:t>
            </w:r>
          </w:p>
        </w:tc>
        <w:tc>
          <w:tcPr>
            <w:tcW w:w="3898" w:type="dxa"/>
          </w:tcPr>
          <w:p w14:paraId="60413E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闪购频道搜索、推荐首位</w:t>
            </w:r>
          </w:p>
        </w:tc>
        <w:tc>
          <w:tcPr>
            <w:tcW w:w="2184" w:type="dxa"/>
          </w:tcPr>
          <w:p w14:paraId="302DC7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GD（合约保量）</w:t>
            </w:r>
          </w:p>
        </w:tc>
      </w:tr>
      <w:tr w14:paraId="3DDF15D7">
        <w:tc>
          <w:tcPr>
            <w:tcW w:w="2440" w:type="dxa"/>
          </w:tcPr>
          <w:p w14:paraId="3F5967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订单通</w:t>
            </w:r>
          </w:p>
        </w:tc>
        <w:tc>
          <w:tcPr>
            <w:tcW w:w="3898" w:type="dxa"/>
          </w:tcPr>
          <w:p w14:paraId="639FFD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搜索</w:t>
            </w:r>
          </w:p>
        </w:tc>
        <w:tc>
          <w:tcPr>
            <w:tcW w:w="2184" w:type="dxa"/>
          </w:tcPr>
          <w:p w14:paraId="4D58B2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CPS</w:t>
            </w:r>
          </w:p>
        </w:tc>
      </w:tr>
      <w:tr w14:paraId="7AB55E77">
        <w:tc>
          <w:tcPr>
            <w:tcW w:w="2440" w:type="dxa"/>
          </w:tcPr>
          <w:p w14:paraId="2C42A9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金字招牌</w:t>
            </w:r>
          </w:p>
        </w:tc>
        <w:tc>
          <w:tcPr>
            <w:tcW w:w="3898" w:type="dxa"/>
            <w:shd w:val="clear" w:color="auto" w:fill="auto"/>
            <w:vAlign w:val="top"/>
          </w:tcPr>
          <w:p w14:paraId="546A42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门店头图右上角展示优选，且支持创意文案风格</w:t>
            </w:r>
          </w:p>
        </w:tc>
        <w:tc>
          <w:tcPr>
            <w:tcW w:w="2184" w:type="dxa"/>
            <w:shd w:val="clear" w:color="auto" w:fill="auto"/>
            <w:vAlign w:val="top"/>
          </w:tcPr>
          <w:p w14:paraId="0E65A0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CPT月度</w:t>
            </w:r>
          </w:p>
        </w:tc>
      </w:tr>
    </w:tbl>
    <w:p w14:paraId="7DC3B2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372063848"/>
      <w:bookmarkStart w:id="1" w:name="_Toc210552340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如何购买一站式推广广告？</w:t>
      </w:r>
      <w:bookmarkEnd w:id="2"/>
    </w:p>
    <w:p w14:paraId="70970CE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1F46D2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drawing>
          <wp:inline distT="0" distB="0" distL="114300" distR="114300">
            <wp:extent cx="5271135" cy="3561080"/>
            <wp:effectExtent l="0" t="0" r="12065" b="203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和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【出价】。</w:t>
      </w:r>
    </w:p>
    <w:p w14:paraId="127337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5A98A8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3" w:name="_Toc2081225580"/>
      <w:r>
        <w:rPr>
          <w:rFonts w:hint="eastAsia"/>
          <w:b/>
          <w:bCs/>
          <w:sz w:val="28"/>
          <w:szCs w:val="28"/>
          <w:lang w:val="en-US" w:eastAsia="zh-CN"/>
        </w:rPr>
        <w:t>2.3.2 单个广告如何进行GSP竞价？</w:t>
      </w:r>
      <w:bookmarkEnd w:id="3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590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 gsp bid*质量分；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944680724"/>
      <w:r>
        <w:rPr>
          <w:rFonts w:hint="eastAsia"/>
          <w:b/>
          <w:bCs/>
          <w:sz w:val="28"/>
          <w:szCs w:val="28"/>
          <w:lang w:val="en-US" w:eastAsia="zh-CN"/>
        </w:rPr>
        <w:t>2.3.3 多广告如何进行竞价排序？</w:t>
      </w:r>
      <w:bookmarkEnd w:id="4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02325997"/>
      <w:r>
        <w:rPr>
          <w:rFonts w:hint="eastAsia"/>
          <w:b/>
          <w:bCs/>
          <w:sz w:val="28"/>
          <w:szCs w:val="28"/>
          <w:lang w:val="en-US" w:eastAsia="zh-CN"/>
        </w:rPr>
        <w:t>2.3.4 如何判定投放结束？</w:t>
      </w:r>
      <w:bookmarkEnd w:id="5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2011000112"/>
      <w:r>
        <w:rPr>
          <w:rFonts w:hint="eastAsia"/>
          <w:b/>
          <w:bCs/>
          <w:sz w:val="28"/>
          <w:szCs w:val="28"/>
          <w:lang w:val="en-US" w:eastAsia="zh-CN"/>
        </w:rPr>
        <w:t>2.3.5 广告效果如何展示？</w:t>
      </w:r>
      <w:bookmarkEnd w:id="6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1781245898"/>
      <w:bookmarkStart w:id="8" w:name="_Toc1847611771"/>
      <w:r>
        <w:rPr>
          <w:rFonts w:hint="eastAsia"/>
          <w:b/>
          <w:bCs/>
          <w:sz w:val="28"/>
          <w:szCs w:val="28"/>
          <w:lang w:val="en-US" w:eastAsia="zh-CN"/>
        </w:rPr>
        <w:t>2.3.6 广告如何计费？</w:t>
      </w:r>
      <w:bookmarkEnd w:id="7"/>
      <w:bookmarkEnd w:id="8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1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DE5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9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</w:t>
      </w:r>
      <w:bookmarkEnd w:id="9"/>
      <w:r>
        <w:rPr>
          <w:rFonts w:hint="eastAsia"/>
          <w:b/>
          <w:bCs/>
          <w:sz w:val="36"/>
          <w:szCs w:val="36"/>
          <w:lang w:val="en-US" w:eastAsia="zh-CN"/>
        </w:rPr>
        <w:t>背景</w:t>
      </w:r>
    </w:p>
    <w:p w14:paraId="35BDC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0" w:name="_Toc1022907912"/>
      <w:r>
        <w:rPr>
          <w:rFonts w:hint="eastAsia"/>
          <w:b/>
          <w:bCs/>
          <w:sz w:val="32"/>
          <w:szCs w:val="32"/>
          <w:lang w:val="en-US" w:eastAsia="zh-CN"/>
        </w:rPr>
        <w:t xml:space="preserve">3.1 </w:t>
      </w:r>
      <w:bookmarkEnd w:id="10"/>
      <w:r>
        <w:rPr>
          <w:rFonts w:hint="eastAsia"/>
          <w:b/>
          <w:bCs/>
          <w:sz w:val="32"/>
          <w:szCs w:val="32"/>
          <w:lang w:val="en-US" w:eastAsia="zh-CN"/>
        </w:rPr>
        <w:t>商户调研</w:t>
      </w:r>
    </w:p>
    <w:p w14:paraId="5AC41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思考一下如果是你来指导运营来做调研，你会从哪几个方面获取自己想要的内容？</w:t>
      </w:r>
    </w:p>
    <w:p w14:paraId="14FD7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1、商户使用加价换购的主要诉求</w:t>
      </w:r>
    </w:p>
    <w:p w14:paraId="2220B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希望通过“+X元多一件”的形式拉高客单价、清理库存、带动新品试用。</w:t>
      </w:r>
    </w:p>
    <w:p w14:paraId="6C7A8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更在意“整体订单数+客单价”的提升，而不是单个换购sku的利润。</w:t>
      </w:r>
    </w:p>
    <w:p w14:paraId="5D88B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2、当前使用加价换购的体验反馈</w:t>
      </w:r>
    </w:p>
    <w:p w14:paraId="2DF3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对平台给的加价换购能力整体认可，认为转化效果好、用户接受度高。</w:t>
      </w:r>
    </w:p>
    <w:p w14:paraId="0944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吐槽点集中在：配置成本高(需要和品牌、运营多方沟通)、活动结束后效果复盘不直观。</w:t>
      </w:r>
    </w:p>
    <w:p w14:paraId="6B3B1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3、对平台的核心期待</w:t>
      </w:r>
    </w:p>
    <w:p w14:paraId="19945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希望平台能给“做活动的门店”更多流量倾斜，最好是稳定可预期的资源位。</w:t>
      </w:r>
    </w:p>
    <w:p w14:paraId="75CD5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对品牌活动愿意配合，但前提是能看到清晰账目：品牌补贴、平台补贴、商家让利分别贡献了多少。</w:t>
      </w:r>
    </w:p>
    <w:p w14:paraId="538D3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B9A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思考：通过以上调研内容，你能得出什么结论？下一步你打算怎么做？</w:t>
      </w:r>
    </w:p>
    <w:p w14:paraId="4C680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B6C6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数据调研</w:t>
      </w:r>
    </w:p>
    <w:p w14:paraId="67013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3.2.1商户痛点的数据侧映射</w:t>
      </w:r>
    </w:p>
    <w:p w14:paraId="5150F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1、覆盖率问题</w:t>
      </w:r>
    </w:p>
    <w:p w14:paraId="535B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仅约5.1%的营业中商家创建了超值换购活动，说明整体渗透率不高。</w:t>
      </w:r>
    </w:p>
    <w:p w14:paraId="3D286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2、曝光率问题</w:t>
      </w:r>
    </w:p>
    <w:p w14:paraId="6C9F6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提单页日均曝光UV约433万，但超值换购模块日均曝光UV仅约109万，对应模块曝光率约3.25%。</w:t>
      </w:r>
    </w:p>
    <w:p w14:paraId="0581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暗示：即使有活动，模块位置偏下、流量承接有限。</w:t>
      </w:r>
    </w:p>
    <w:p w14:paraId="0F518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3、结构性机会</w:t>
      </w:r>
    </w:p>
    <w:p w14:paraId="29C95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已配置加价换购的商家中，大量活动商品数量≥3个，说明模块内存在“谁更靠前”的提权空间。</w:t>
      </w:r>
    </w:p>
    <w:p w14:paraId="3884A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3D54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数据侧可以看到：即使在有限曝光下，该模块CTR、CVR都明显高于页面其他模块，是典型“高价值但利用率不够”的坑位。</w:t>
      </w:r>
    </w:p>
    <w:p w14:paraId="46649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因此，从数据角度可以初步确认：不需要先去“证明模块有没有价值”，而是应该优先思考“如何把这块高价值流量位广告化、可控化”。</w:t>
      </w:r>
    </w:p>
    <w:p w14:paraId="06DA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485C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3.2.2 加价换购&amp;产品现状数据</w:t>
      </w:r>
    </w:p>
    <w:p w14:paraId="33E4F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1、活动配置情况</w:t>
      </w:r>
    </w:p>
    <w:p w14:paraId="40735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统计区间内约有19万商家配置了加价换购活动，单商家平均配置约18个商品。</w:t>
      </w:r>
    </w:p>
    <w:p w14:paraId="7CD24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活动中商品数量≥3个的活动占比约77%，说明大多数活动是一个“小货架”，而不是只挂1个sku。</w:t>
      </w:r>
    </w:p>
    <w:p w14:paraId="78317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2、品牌渗透情况</w:t>
      </w:r>
    </w:p>
    <w:p w14:paraId="2F5E8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在这些活动中，约有13万商家活动里包含品牌商品，渗透率约68%。</w:t>
      </w:r>
    </w:p>
    <w:p w14:paraId="35FD7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品牌覆盖到的规模：约877个品牌UPC，183万个SKU。</w:t>
      </w:r>
    </w:p>
    <w:p w14:paraId="155BD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3、带品牌补贴的订单表现</w:t>
      </w:r>
    </w:p>
    <w:p w14:paraId="65137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有品牌补贴的加价换购活动中，约有3.6万商家产生订单11.3万单，对应实付GMV约793万，覆盖品牌UPC约234个。</w:t>
      </w:r>
    </w:p>
    <w:p w14:paraId="62F9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4、C端产品表现</w:t>
      </w:r>
    </w:p>
    <w:p w14:paraId="72A4C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提单页超值换购模块CTR约4.3%，模块内点击到下单的CVR约15%。</w:t>
      </w:r>
    </w:p>
    <w:p w14:paraId="3111D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按照10元的单均价估算，该模块CPM≈64.5元，是一个天然高价值流量位。</w:t>
      </w:r>
    </w:p>
    <w:p w14:paraId="61AE5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思考：为什么从这四个方面看数据，这些数据结果可以得出什么结论？</w:t>
      </w:r>
    </w:p>
    <w:p w14:paraId="52B64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3E4D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业务调研</w:t>
      </w:r>
    </w:p>
    <w:p w14:paraId="54316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1、品牌侧价值</w:t>
      </w:r>
    </w:p>
    <w:p w14:paraId="35EEC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在高转化的加价换购场景里出现，品牌商品的曝光更集中、转化效率更高。</w:t>
      </w:r>
    </w:p>
    <w:p w14:paraId="59F51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可以与发券、补贴联动，形成“看得见的ROI闭环”，有利于品牌提升广告预算。</w:t>
      </w:r>
    </w:p>
    <w:p w14:paraId="31D84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2、平台侧价值</w:t>
      </w:r>
    </w:p>
    <w:p w14:paraId="5B88C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把一个原本只做促销的模块，沉淀为可控的RTB广告位，增加品牌广告可控流量占比。</w:t>
      </w:r>
    </w:p>
    <w:p w14:paraId="48EE6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与现有推荐搭配、列表广告一起，形成更完整的“品牌可控场景矩阵”。</w:t>
      </w:r>
    </w:p>
    <w:p w14:paraId="5B325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3、用户侧价值</w:t>
      </w:r>
    </w:p>
    <w:p w14:paraId="22DF5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用户在下单提单页看到的依然是“加X元得一件划算商品”，只是其中一部分由品牌广告承接。</w:t>
      </w:r>
    </w:p>
    <w:p w14:paraId="31570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在不破坏低价心智的前提下，用户能够获得更多品牌补贴和更高性价比商品。</w:t>
      </w:r>
    </w:p>
    <w:p w14:paraId="26E21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F3AB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总结：品牌广告与加价换购的结合，本质上是在一个天然高转化场景中，增加了一层“可控流量+可定价”的能力，既能帮品牌买到更确定的转化，又能帮平台把高价值流量位货币化，同时保持用户“超值换购”的体验不变。</w:t>
      </w:r>
    </w:p>
    <w:p w14:paraId="708C1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526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 项目目标</w:t>
      </w:r>
    </w:p>
    <w:p w14:paraId="05151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在加价换购模块内接入RTB广告能力，完成从C端请求→广告召回→竞价排序→埋点计费的全链路打通。</w:t>
      </w:r>
    </w:p>
    <w:p w14:paraId="7313F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CA9D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4.1 收入空间探查</w:t>
      </w:r>
    </w:p>
    <w:p w14:paraId="33400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1、单坑位价值测算</w:t>
      </w:r>
    </w:p>
    <w:p w14:paraId="45598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基于现有自然数据估算：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5664"/>
      </w:tblGrid>
      <w:tr w14:paraId="77FFB04D">
        <w:tc>
          <w:tcPr>
            <w:tcW w:w="2858" w:type="dxa"/>
          </w:tcPr>
          <w:p w14:paraId="2ABCD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5664" w:type="dxa"/>
          </w:tcPr>
          <w:p w14:paraId="182B6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2.96%</w:t>
            </w:r>
          </w:p>
        </w:tc>
      </w:tr>
      <w:tr w14:paraId="7C1A9328">
        <w:tc>
          <w:tcPr>
            <w:tcW w:w="2858" w:type="dxa"/>
          </w:tcPr>
          <w:p w14:paraId="69480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5664" w:type="dxa"/>
          </w:tcPr>
          <w:p w14:paraId="5B674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24.45%</w:t>
            </w:r>
          </w:p>
        </w:tc>
      </w:tr>
      <w:tr w14:paraId="5D298966">
        <w:tc>
          <w:tcPr>
            <w:tcW w:w="2858" w:type="dxa"/>
          </w:tcPr>
          <w:p w14:paraId="6CCAA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客单价</w:t>
            </w:r>
          </w:p>
        </w:tc>
        <w:tc>
          <w:tcPr>
            <w:tcW w:w="5664" w:type="dxa"/>
          </w:tcPr>
          <w:p w14:paraId="25A2C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4.35元</w:t>
            </w:r>
          </w:p>
        </w:tc>
      </w:tr>
      <w:tr w14:paraId="684C998C">
        <w:tc>
          <w:tcPr>
            <w:tcW w:w="2858" w:type="dxa"/>
          </w:tcPr>
          <w:p w14:paraId="3105E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CPC</w:t>
            </w:r>
          </w:p>
        </w:tc>
        <w:tc>
          <w:tcPr>
            <w:tcW w:w="5664" w:type="dxa"/>
          </w:tcPr>
          <w:p w14:paraId="085C9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1.1元</w:t>
            </w:r>
          </w:p>
        </w:tc>
      </w:tr>
    </w:tbl>
    <w:p w14:paraId="5B36D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F06C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2、流量与填充率假设</w:t>
      </w:r>
    </w:p>
    <w:p w14:paraId="3A2E2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日PV≈415万，保守假设填充率仅20%。</w:t>
      </w:r>
    </w:p>
    <w:p w14:paraId="74F53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则日收入≈415万*20%*31.5/1000≈2万/天，对应年收入约700万~1000万量级。</w:t>
      </w:r>
    </w:p>
    <w:p w14:paraId="57DC3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34BE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3、激进场景测算</w:t>
      </w:r>
    </w:p>
    <w:p w14:paraId="11769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如果结合更多资源打包、可控流量扩大，预计可将流量可控空间提升约2.6pp，对应品牌广告收入+约168%，从约34万/天增长到约91万/天，全年增收空间可到2亿+级别。</w:t>
      </w:r>
    </w:p>
    <w:p w14:paraId="1A193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803D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长期价值</w:t>
      </w:r>
    </w:p>
    <w:p w14:paraId="7F92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1、品牌广告可控流量长期目标</w:t>
      </w:r>
    </w:p>
    <w:p w14:paraId="1B4EF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品牌广告中台有明确规划：中长期要把品牌广告“可控流量占比”提升到约20%。当前实际约为13%~14%，存在明显缺口。</w:t>
      </w:r>
    </w:p>
    <w:p w14:paraId="4281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2、加价换购接入RTB的战略价值</w:t>
      </w:r>
    </w:p>
    <w:p w14:paraId="1BC3F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超值加价换购是少数同时具备“高转化+可控入口+可运营”的场景之一。</w:t>
      </w:r>
    </w:p>
    <w:p w14:paraId="42166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将其纳入RTB体系后，对可控流量的贡献预计在+1~2pp，对整体收入贡献在千万至亿元级别。</w:t>
      </w:r>
    </w:p>
    <w:p w14:paraId="49CA8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3、与其他资源位的协同</w:t>
      </w:r>
    </w:p>
    <w:p w14:paraId="46E0F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后续可将加价换购与首页大卡、品牌专区、推荐搭配等形成打包售卖方案，统一做“品牌高价值触点矩阵”。</w:t>
      </w:r>
    </w:p>
    <w:p w14:paraId="205C7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项目本身不仅是一个单点优化，而是品牌广告产品矩阵中的重要一环。</w:t>
      </w:r>
    </w:p>
    <w:p w14:paraId="49DC6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8895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风险指标监测</w:t>
      </w:r>
    </w:p>
    <w:p w14:paraId="700BE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1、核心风控指标</w:t>
      </w:r>
    </w:p>
    <w:p w14:paraId="01818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CXR(CTR*CVR)：实验组相对对照组不允许超过-2%。</w:t>
      </w:r>
    </w:p>
    <w:p w14:paraId="08705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RPM：不希望出现明显下滑，如出现波动需结合商品结构变化解释。</w:t>
      </w:r>
    </w:p>
    <w:p w14:paraId="7089D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用户投诉率、差评率：监控是否因广告商品价格/质量问题产生异常。</w:t>
      </w:r>
    </w:p>
    <w:p w14:paraId="18DDB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2、监控维度</w:t>
      </w:r>
    </w:p>
    <w:p w14:paraId="33084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按资源位维度监控：该加价换购广告位自身的CXR、RPM。</w:t>
      </w:r>
    </w:p>
    <w:p w14:paraId="68E11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按整体提单页维度监控：确保引入广告后不会挤压其他关键转化入口。</w:t>
      </w:r>
    </w:p>
    <w:p w14:paraId="1C566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3、回滚策略</w:t>
      </w:r>
    </w:p>
    <w:p w14:paraId="5EF1B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若连续7天核心指标超出阈值，则自动缩小曝光或关闭实验。</w:t>
      </w:r>
    </w:p>
    <w:p w14:paraId="663FF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若指标稳定在正向区间，则逐步扩大流量，占用更多可控空间。</w:t>
      </w:r>
    </w:p>
    <w:p w14:paraId="538A9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D7F5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EAB6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项目动作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6419"/>
      </w:tblGrid>
      <w:tr w14:paraId="15D0FB77">
        <w:tc>
          <w:tcPr>
            <w:tcW w:w="2103" w:type="dxa"/>
            <w:shd w:val="clear" w:color="auto" w:fill="F4B382" w:themeFill="accent2" w:themeFillTint="99"/>
          </w:tcPr>
          <w:p w14:paraId="6847A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6419" w:type="dxa"/>
            <w:shd w:val="clear" w:color="auto" w:fill="F4B382" w:themeFill="accent2" w:themeFillTint="99"/>
          </w:tcPr>
          <w:p w14:paraId="634AB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动作</w:t>
            </w:r>
          </w:p>
        </w:tc>
      </w:tr>
      <w:tr w14:paraId="7136551D">
        <w:tc>
          <w:tcPr>
            <w:tcW w:w="2103" w:type="dxa"/>
          </w:tcPr>
          <w:p w14:paraId="3D732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6419" w:type="dxa"/>
          </w:tcPr>
          <w:p w14:paraId="6796E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1、通过任务中心/营销活动，对目标商家下发“配置加价换购+品牌商品”的任务。</w:t>
            </w:r>
          </w:p>
          <w:p w14:paraId="09046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2、预算分配</w:t>
            </w:r>
          </w:p>
        </w:tc>
      </w:tr>
      <w:tr w14:paraId="73397BD7">
        <w:tc>
          <w:tcPr>
            <w:tcW w:w="2103" w:type="dxa"/>
          </w:tcPr>
          <w:p w14:paraId="1CA11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6419" w:type="dxa"/>
          </w:tcPr>
          <w:p w14:paraId="03239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1、完成加价换购场景RTB接入(召回、竞价、计费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)</w:t>
            </w:r>
          </w:p>
          <w:p w14:paraId="6F639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2、设计召回顺序、排序逻辑、补贴机制、风险控制。</w:t>
            </w:r>
          </w:p>
        </w:tc>
      </w:tr>
      <w:tr w14:paraId="3887DCB5">
        <w:tc>
          <w:tcPr>
            <w:tcW w:w="2103" w:type="dxa"/>
          </w:tcPr>
          <w:p w14:paraId="3AE77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6419" w:type="dxa"/>
          </w:tcPr>
          <w:p w14:paraId="4888B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用户体验策略</w:t>
            </w:r>
          </w:p>
        </w:tc>
      </w:tr>
    </w:tbl>
    <w:p w14:paraId="31E15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A38C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灰度投放范围</w:t>
      </w:r>
    </w:p>
    <w:p w14:paraId="6D59E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1、场景范围</w:t>
      </w:r>
    </w:p>
    <w:p w14:paraId="6E1EC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首批仅在即时零售“休食/酒水/快消”等高频、高客单提升空间的类目上线。</w:t>
      </w:r>
    </w:p>
    <w:p w14:paraId="693D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暂不覆盖履约复杂、价格敏感度极高的类目(如生鲜生肉、特殊药品等)。</w:t>
      </w:r>
    </w:p>
    <w:p w14:paraId="27803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2、地域范围</w:t>
      </w:r>
    </w:p>
    <w:p w14:paraId="2294C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先选若干高交易量城市(如一线+核心新一线)做小流量灰度，保证有足够数据回收。</w:t>
      </w:r>
    </w:p>
    <w:p w14:paraId="57A30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后续再向更多城市铺开，观察不同城市层级ROI差异。</w:t>
      </w:r>
    </w:p>
    <w:p w14:paraId="298CD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思考：为什么圈选这部分？</w:t>
      </w:r>
    </w:p>
    <w:p w14:paraId="3251A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9D2F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5.2 品牌B端投放</w:t>
      </w:r>
    </w:p>
    <w:p w14:paraId="54B41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5.2.1 投放方式</w:t>
      </w:r>
    </w:p>
    <w:p w14:paraId="56065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1、B端入口形态</w:t>
      </w:r>
    </w:p>
    <w:p w14:paraId="08E98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在广告平台的品牌投放后台，新增“加价换购场景”投放入口，作为品牌通用计划下的一个子场景。</w:t>
      </w:r>
    </w:p>
    <w:p w14:paraId="5B5B8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0E2F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2、配置流程</w:t>
      </w:r>
    </w:p>
    <w:p w14:paraId="3936C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品牌选择投放场景→选择目标品类/城市→绑定可参与加价换购的商品包(UPC集合)→设置出价与预算。</w:t>
      </w:r>
    </w:p>
    <w:p w14:paraId="701FB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步骤1:品牌在B端创建或编辑计划时，勾选“超值加价换购”场景。</w:t>
      </w:r>
    </w:p>
    <w:p w14:paraId="6F1CF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步骤2:选择投放范围</w:t>
      </w:r>
    </w:p>
    <w:p w14:paraId="3BE3E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可选品类:休食/酒水/快消等支持加价换购的类目</w:t>
      </w:r>
    </w:p>
    <w:p w14:paraId="0CB87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可选城市:支持按城市/城市群勾选</w:t>
      </w:r>
    </w:p>
    <w:p w14:paraId="0541B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步骤3:选择投放商品包</w:t>
      </w:r>
    </w:p>
    <w:p w14:paraId="5EA63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支持按UPC导入，或从“品牌常用商品池”中一键勾选</w:t>
      </w:r>
    </w:p>
    <w:p w14:paraId="30CFB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平台自动过滤不符合加价换购价格/资质规则的商品</w:t>
      </w:r>
    </w:p>
    <w:p w14:paraId="3F215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步骤4:设置该场景出价和预算上限(后面在5.2.3展开)。</w:t>
      </w:r>
    </w:p>
    <w:p w14:paraId="43290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lang w:val="en-US" w:eastAsia="zh-CN"/>
        </w:rPr>
        <w:t>步骤5:提交审核，通过后即可按场景进入RTB竞价。</w:t>
      </w:r>
    </w:p>
    <w:p w14:paraId="1DF3B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E4B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5.2.2 投放品限制及审核</w:t>
      </w:r>
    </w:p>
    <w:p w14:paraId="21EF0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1、类目限制</w:t>
      </w:r>
    </w:p>
    <w:p w14:paraId="089EE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仅支持特定品类，超市便利，对应first_category_id为指定集合。</w:t>
      </w:r>
    </w:p>
    <w:p w14:paraId="620A7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2、价格&amp;补贴限制</w:t>
      </w:r>
    </w:p>
    <w:p w14:paraId="5D64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仅允许换购后价格低于店内原价，且折扣达到平台要求(例如不高于9折)。</w:t>
      </w:r>
    </w:p>
    <w:p w14:paraId="72BFC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对于高风险或客诉率高的商品，不允许进入加价换购广告位。</w:t>
      </w:r>
    </w:p>
    <w:p w14:paraId="00BAC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3、货盘要求</w:t>
      </w:r>
    </w:p>
    <w:p w14:paraId="2805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品牌需保证所选商品在主要投放城市的履约能力和库存充足，避免“看得到抢不到”。</w:t>
      </w:r>
    </w:p>
    <w:p w14:paraId="2FB32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4、审核流程</w:t>
      </w:r>
    </w:p>
    <w:p w14:paraId="5D1CE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（1）自动预检：品牌提交商品包后，系统先执行规则校验:类目、价格、折扣、库存状态、资质齐全度。不通过的商品直接在B端给出原因提示(如“折扣不足”“资质缺失”)，商家可自行调整。</w:t>
      </w:r>
    </w:p>
    <w:p w14:paraId="09DD0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（2）人工抽检：对高预算计划、新品牌、异常折扣商品进行抽样人工审核，重点看文案合规与真实折扣。</w:t>
      </w:r>
    </w:p>
    <w:p w14:paraId="30BBA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（3）运行期监控：对投诉率/退款率异常的商品，自动加入“黑名单池”，禁止再进入加价换购广告位。</w:t>
      </w:r>
    </w:p>
    <w:p w14:paraId="2ACBC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D365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5.2.3 投放预算分配</w:t>
      </w:r>
    </w:p>
    <w:p w14:paraId="20982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1、预算层级设计</w:t>
      </w:r>
    </w:p>
    <w:p w14:paraId="433E3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计划层:品牌设置整体计划预算(总预算/日预算)，由多个场景(如首页大卡/推荐搭配/加价换购)共同消耗。</w:t>
      </w:r>
    </w:p>
    <w:p w14:paraId="48B48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场景层:加价换购场景可单独设置“场景预算上限”，限制该场景最多消耗多少比例预算。</w:t>
      </w:r>
    </w:p>
    <w:p w14:paraId="4CE02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示例:计划日预算10万，加价换购场景日预算上限3万，即最多消耗30%。</w:t>
      </w:r>
    </w:p>
    <w:p w14:paraId="6A132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0E7C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2、出价与消耗优先级</w:t>
      </w:r>
    </w:p>
    <w:p w14:paraId="4B230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（1）出价字段：品牌为加价换购场景单独设置出价。</w:t>
      </w:r>
    </w:p>
    <w:p w14:paraId="12366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（2）消耗规则：默认按eCPM排序统一竞价，加价换购场景与其他场景竞争同一预算池。</w:t>
      </w:r>
    </w:p>
    <w:p w14:paraId="78C15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（3）安全兜底：若加价换购场景持续消耗效果明显劣于其他场景(例如ROI显著偏低)，系统可自动降低该场景优先级或提示品牌调整出价。</w:t>
      </w:r>
    </w:p>
    <w:p w14:paraId="1E6CD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5A08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5.3 广告位确认</w:t>
      </w:r>
    </w:p>
    <w:p w14:paraId="2F64D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1、固定位优先</w:t>
      </w:r>
    </w:p>
    <w:p w14:paraId="74F6C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经过和C端评估，优先采用“固定位”策略：将加价换购模块中固定某一坑位(第2个)作为广告位。</w:t>
      </w:r>
    </w:p>
    <w:p w14:paraId="67D4F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第1位保留给自然折扣最优的换购商品，保障“超值心智”；</w:t>
      </w:r>
    </w:p>
    <w:p w14:paraId="1AECC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第2位给到广告提权商品，在高可见区域获得稳定曝光。</w:t>
      </w:r>
    </w:p>
    <w:p w14:paraId="5E136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12D6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2、就高策略</w:t>
      </w:r>
    </w:p>
    <w:p w14:paraId="56E9A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（1）若广告召回的首位商品与自然第1位商品相同：</w:t>
      </w:r>
    </w:p>
    <w:p w14:paraId="3F3F5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将该商品视为广告曝光与点击，计入广告侧计费与统计；</w:t>
      </w:r>
    </w:p>
    <w:p w14:paraId="42814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列表上仍展示在第1位，第2位由自然排序结果补齐。</w:t>
      </w:r>
    </w:p>
    <w:p w14:paraId="4B419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（2）若广告与自然结果不重合：</w:t>
      </w:r>
    </w:p>
    <w:p w14:paraId="4D2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固定在第2位展示，并对后续自然列表进行去重，避免重复商品出现。</w:t>
      </w:r>
    </w:p>
    <w:p w14:paraId="01B72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A693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思考：为什么选用固定位？如何确定固定在哪个位置？</w:t>
      </w:r>
    </w:p>
    <w:p w14:paraId="119F8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46F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5.4 广告召回</w:t>
      </w:r>
    </w:p>
    <w:p w14:paraId="2C46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5.4.1 召回顺序</w:t>
      </w:r>
    </w:p>
    <w:p w14:paraId="5F19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基于C端可换购商品集合的召回(短期方案)</w:t>
      </w:r>
    </w:p>
    <w:p w14:paraId="7C43A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在C端传入的加价换购商品list内，筛选出与广告计划匹配的品牌商品。</w:t>
      </w:r>
    </w:p>
    <w:p w14:paraId="1F136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广告计划召回</w:t>
      </w:r>
    </w:p>
    <w:p w14:paraId="735AA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匹配条件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a.商品在品牌投放的UPC列表内；b.满足类目、价格、折扣、资质等投放规则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得到“可广告化的加价换购商品集合”。</w:t>
      </w:r>
    </w:p>
    <w:p w14:paraId="33B99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基于商品集合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检索符合定向条件的广告计划。</w:t>
      </w:r>
    </w:p>
    <w:p w14:paraId="23C8F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6354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default"/>
          <w:b/>
          <w:bCs/>
          <w:sz w:val="24"/>
          <w:szCs w:val="24"/>
          <w:lang w:val="en-US" w:eastAsia="zh-CN"/>
        </w:rPr>
        <w:t>强制干预召回</w:t>
      </w:r>
    </w:p>
    <w:p w14:paraId="14248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检查是否</w:t>
      </w:r>
      <w:r>
        <w:rPr>
          <w:rFonts w:hint="eastAsia"/>
          <w:sz w:val="24"/>
          <w:szCs w:val="24"/>
          <w:lang w:val="en-US" w:eastAsia="zh-CN"/>
        </w:rPr>
        <w:t>有</w:t>
      </w:r>
      <w:r>
        <w:rPr>
          <w:rFonts w:hint="default"/>
          <w:sz w:val="24"/>
          <w:szCs w:val="24"/>
          <w:lang w:val="en-US" w:eastAsia="zh-CN"/>
        </w:rPr>
        <w:t>配置的强制提权订单：若有，则对应商品必须进入候选集合，并在排序中优先。</w:t>
      </w:r>
    </w:p>
    <w:p w14:paraId="22A9E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15D3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5.4.2 召回通路</w:t>
      </w:r>
    </w:p>
    <w:p w14:paraId="19343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线上实时通路</w:t>
      </w:r>
    </w:p>
    <w:p w14:paraId="2A3F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触发时机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用户进入订单提单页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且命中“有加价换购活动+金额满足门槛”的场景时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C端发起广告请求。</w:t>
      </w:r>
    </w:p>
    <w:p w14:paraId="616E1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（1）</w:t>
      </w:r>
      <w:r>
        <w:rPr>
          <w:rFonts w:hint="default"/>
          <w:b/>
          <w:bCs/>
          <w:sz w:val="24"/>
          <w:szCs w:val="24"/>
          <w:lang w:val="en-US" w:eastAsia="zh-CN"/>
        </w:rPr>
        <w:t>请求参数</w:t>
      </w:r>
    </w:p>
    <w:p w14:paraId="50B02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user_id:用户标识</w:t>
      </w:r>
    </w:p>
    <w:p w14:paraId="79FA7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poi_id:当前门店</w:t>
      </w:r>
    </w:p>
    <w:p w14:paraId="6AFCE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city_id:城市维度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用于计划定向</w:t>
      </w:r>
    </w:p>
    <w:p w14:paraId="2098E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lbs:用于城市/区域校验</w:t>
      </w:r>
    </w:p>
    <w:p w14:paraId="46E90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sku_list:当前门店加价换购可选商品集合(包含sku_id/原价/换购价/折扣等信息)</w:t>
      </w:r>
    </w:p>
    <w:p w14:paraId="4604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时间维度:请求时间戳(用于日粒度、时段定向)</w:t>
      </w:r>
    </w:p>
    <w:p w14:paraId="4E9AE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（2）</w:t>
      </w:r>
      <w:r>
        <w:rPr>
          <w:rFonts w:hint="default"/>
          <w:b/>
          <w:bCs/>
          <w:sz w:val="24"/>
          <w:szCs w:val="24"/>
          <w:lang w:val="en-US" w:eastAsia="zh-CN"/>
        </w:rPr>
        <w:t>引擎侧处理</w:t>
      </w:r>
    </w:p>
    <w:p w14:paraId="4005E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根据poi_id+sku_list快速过滤出门店内可投放的品牌商品；</w:t>
      </w:r>
    </w:p>
    <w:p w14:paraId="57EA0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根据city_id+时间等信息过滤广告计划；</w:t>
      </w:r>
    </w:p>
    <w:p w14:paraId="7CE0B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按5.4.1定义的顺序执行计划召回、干预、候选合并。</w:t>
      </w:r>
    </w:p>
    <w:p w14:paraId="6FEF7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9DE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离线货盘通路</w:t>
      </w:r>
    </w:p>
    <w:p w14:paraId="7E212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离线预计算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以“品牌+城市+类目”为维度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离线生成可投放商品池(满足资质、价格、库存等条件)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支持附带“建议加价换购价格区间”或“补贴后价格区间”特征。</w:t>
      </w:r>
    </w:p>
    <w:p w14:paraId="3A755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实时使用当C端传入的sku_list较少或质量不足时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引擎可以从离线商品池中补充候选商品；补充商品仍需通过“补贴后价格必须优于门店原价”的规则过滤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避免违背“超值”心智。</w:t>
      </w:r>
    </w:p>
    <w:p w14:paraId="22AE8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396F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5.5 广告竞价排序</w:t>
      </w:r>
    </w:p>
    <w:p w14:paraId="0DB3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5.5.1 竞价计费</w:t>
      </w:r>
    </w:p>
    <w:p w14:paraId="7ED30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基础竞价</w:t>
      </w:r>
    </w:p>
    <w:p w14:paraId="4195B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所有候选广告商品按照标准RTB流程，出价bid结合预估CTR/CVR形成eCPM。</w:t>
      </w:r>
    </w:p>
    <w:p w14:paraId="4D1D3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保留价设置</w:t>
      </w:r>
    </w:p>
    <w:p w14:paraId="78914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为保证资源位价值，设置最低eCPM保留价：低于某阈值的广告不予展示，由自然换购商品回补。</w:t>
      </w:r>
    </w:p>
    <w:p w14:paraId="28B5E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保留价可按类目、城市动态配置。</w:t>
      </w:r>
    </w:p>
    <w:p w14:paraId="03B9D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078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5.5.2 排序规则</w:t>
      </w:r>
    </w:p>
    <w:p w14:paraId="57E70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1、排序目标</w:t>
      </w:r>
    </w:p>
    <w:p w14:paraId="04BFF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在通过保留价过滤后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对候选广告进行打分并排序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目标是:</w:t>
      </w:r>
    </w:p>
    <w:p w14:paraId="419D3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平台收益:eCPM越高越好</w:t>
      </w:r>
    </w:p>
    <w:p w14:paraId="203EE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品类生意:预估GMV越高越好</w:t>
      </w:r>
    </w:p>
    <w:p w14:paraId="3670D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用户体验:价格越划算、折扣越大越好</w:t>
      </w:r>
    </w:p>
    <w:p w14:paraId="25566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80A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单广告打分公式(RS)</w:t>
      </w:r>
    </w:p>
    <w:p w14:paraId="1E9E7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对每个候选广告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计算综合得分RS:</w:t>
      </w:r>
    </w:p>
    <w:p w14:paraId="58B53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RS=w1norm(eCPM_hat)+w2norm(pGMV_hat)+w3discount_score+w4quality_score</w:t>
      </w:r>
    </w:p>
    <w:p w14:paraId="48666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其中:</w:t>
      </w:r>
    </w:p>
    <w:p w14:paraId="00C3B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norm(x)为归一化函数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确保不同维度可加权；</w:t>
      </w:r>
    </w:p>
    <w:p w14:paraId="7AD81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pGMV_hat≈预估成交额=预估CTR预估CVR客单价；</w:t>
      </w:r>
    </w:p>
    <w:p w14:paraId="1D4C0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discount_score由折扣力度、换购价相对原价的优势程度映射；</w:t>
      </w:r>
    </w:p>
    <w:p w14:paraId="45DC5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quality_score可引入商品评价、退货率等质量信号。</w:t>
      </w:r>
    </w:p>
    <w:p w14:paraId="33B48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权重w1、w2、w3、w4在上线初期由经验设定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后续结合实验数据调整。</w:t>
      </w:r>
    </w:p>
    <w:p w14:paraId="0D82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BA16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default"/>
          <w:b/>
          <w:bCs/>
          <w:sz w:val="24"/>
          <w:szCs w:val="24"/>
          <w:lang w:val="en-US" w:eastAsia="zh-CN"/>
        </w:rPr>
        <w:t>特殊优先级规则</w:t>
      </w:r>
    </w:p>
    <w:p w14:paraId="63C1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强制干预商品优先:</w:t>
      </w:r>
    </w:p>
    <w:p w14:paraId="407F6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若某候选广告来自强制提权订单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则在同一批候选中优先排序为第1位。</w:t>
      </w:r>
    </w:p>
    <w:p w14:paraId="7F269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频控与去重:</w:t>
      </w:r>
    </w:p>
    <w:p w14:paraId="12413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对同一商品在短时间内频繁出现的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可加入频控惩罚因子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避免单商品刷屏。</w:t>
      </w:r>
    </w:p>
    <w:p w14:paraId="73825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若广告商品与自然加价换购列表存在重复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则广告排序仍按RS决定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自然列表中去掉重复项。</w:t>
      </w:r>
    </w:p>
    <w:p w14:paraId="4FF7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0A87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</w:t>
      </w:r>
      <w:r>
        <w:rPr>
          <w:rFonts w:hint="default"/>
          <w:b/>
          <w:bCs/>
          <w:sz w:val="24"/>
          <w:szCs w:val="24"/>
          <w:lang w:val="en-US" w:eastAsia="zh-CN"/>
        </w:rPr>
        <w:t>排序结果应用</w:t>
      </w:r>
    </w:p>
    <w:p w14:paraId="6D5FA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当前场景只需要top1作为广告位商品:</w:t>
      </w:r>
    </w:p>
    <w:p w14:paraId="364B4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排序后取RS最高的1个广告展示在第2位广告位；</w:t>
      </w:r>
    </w:p>
    <w:p w14:paraId="2AD80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其余候选广告不展示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不参与本次曝光。</w:t>
      </w:r>
    </w:p>
    <w:p w14:paraId="1EDAE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AB69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5.5.3 ROI平滑控制策略</w:t>
      </w:r>
    </w:p>
    <w:p w14:paraId="7BD0D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品牌侧ROI监控</w:t>
      </w:r>
    </w:p>
    <w:p w14:paraId="38EC0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为该场景单独统计每个计划的花费、成交、ROI，确保不出现极端劣质流量消耗。</w:t>
      </w:r>
    </w:p>
    <w:p w14:paraId="46610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平台侧收益与体验平衡</w:t>
      </w:r>
    </w:p>
    <w:p w14:paraId="6C351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若发现某段时间内本场景RPM快速上涨、但CXR明显下滑，则逐步降低该场景的曝光权重，避免“吃相难看”。</w:t>
      </w:r>
    </w:p>
    <w:p w14:paraId="580EC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default"/>
          <w:b/>
          <w:bCs/>
          <w:sz w:val="24"/>
          <w:szCs w:val="24"/>
          <w:lang w:val="en-US" w:eastAsia="zh-CN"/>
        </w:rPr>
        <w:t>节奏控制</w:t>
      </w:r>
    </w:p>
    <w:p w14:paraId="6BDE1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在实验阶段按日、按周回顾数据，对异常波动设置自动限速或下线策略。</w:t>
      </w:r>
    </w:p>
    <w:p w14:paraId="59E3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8612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5.6 C端逻辑</w:t>
      </w:r>
    </w:p>
    <w:p w14:paraId="509EB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5.6.1 用户体验设计</w:t>
      </w:r>
    </w:p>
    <w:p w14:paraId="0CCA8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default"/>
          <w:sz w:val="24"/>
          <w:szCs w:val="24"/>
          <w:lang w:val="en-US" w:eastAsia="zh-CN"/>
        </w:rPr>
        <w:t>展示形态</w:t>
      </w:r>
    </w:p>
    <w:p w14:paraId="51AF3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广告商品保持与自然加价换购商品一致的卡片样式，仅在卡片角落标记“广告”或“品牌推荐”字样。</w:t>
      </w:r>
    </w:p>
    <w:p w14:paraId="05CAD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default"/>
          <w:sz w:val="24"/>
          <w:szCs w:val="24"/>
          <w:lang w:val="en-US" w:eastAsia="zh-CN"/>
        </w:rPr>
        <w:t>心智保护</w:t>
      </w:r>
    </w:p>
    <w:p w14:paraId="12E35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严格约束广告商品的折扣力度与价格，确保整体列表依然保持“超值换购”的印象。</w:t>
      </w:r>
    </w:p>
    <w:p w14:paraId="4C9B1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default"/>
          <w:sz w:val="24"/>
          <w:szCs w:val="24"/>
          <w:lang w:val="en-US" w:eastAsia="zh-CN"/>
        </w:rPr>
        <w:t>风险控制</w:t>
      </w:r>
    </w:p>
    <w:p w14:paraId="6BF79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若实验中发现用户点击率或加购率明显下降，则及时调整广告比例或下线该场景。</w:t>
      </w:r>
    </w:p>
    <w:p w14:paraId="3C5D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34A6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5.6.2 用户跳转逻辑</w:t>
      </w:r>
    </w:p>
    <w:p w14:paraId="652E0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点击行为</w:t>
      </w:r>
    </w:p>
    <w:p w14:paraId="77383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用户点击广告商品时，默认行为与自然换购商品一致：勾选换购商品并刷新结算金额。</w:t>
      </w:r>
    </w:p>
    <w:p w14:paraId="37FEF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详情入口</w:t>
      </w:r>
    </w:p>
    <w:p w14:paraId="59A34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如用户点进商品详情页，在详情页中依然展示“加价换购优惠”，避免体验割裂。</w:t>
      </w:r>
    </w:p>
    <w:p w14:paraId="31FBD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default"/>
          <w:b/>
          <w:bCs/>
          <w:sz w:val="24"/>
          <w:szCs w:val="24"/>
          <w:lang w:val="en-US" w:eastAsia="zh-CN"/>
        </w:rPr>
        <w:t>回退逻辑</w:t>
      </w:r>
    </w:p>
    <w:p w14:paraId="1D6B4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用户取消勾选时，订单金额回到正常值，不保留虚高价格，保证价格透明。</w:t>
      </w:r>
    </w:p>
    <w:p w14:paraId="43894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D7E3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5.7 广告补贴逻辑</w:t>
      </w:r>
    </w:p>
    <w:p w14:paraId="479B2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短期策略</w:t>
      </w:r>
    </w:p>
    <w:p w14:paraId="2A2B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不单独引入广告侧品牌补贴，直接复用商家当前配置的加价换购补贴。</w:t>
      </w:r>
    </w:p>
    <w:p w14:paraId="60864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优先验证：在不改变补贴结构的前提下，仅靠提权能否带来足够增量。</w:t>
      </w:r>
    </w:p>
    <w:p w14:paraId="0D7FA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default"/>
          <w:b/>
          <w:bCs/>
          <w:sz w:val="24"/>
          <w:szCs w:val="24"/>
          <w:lang w:val="en-US" w:eastAsia="zh-CN"/>
        </w:rPr>
        <w:t>中长期策略</w:t>
      </w:r>
    </w:p>
    <w:p w14:paraId="306C7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打通广告侧与加价换购侧补贴机制作业：</w:t>
      </w:r>
    </w:p>
    <w:p w14:paraId="0B4BD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对投放该场景的品牌，允许平台额外给出部分补贴，用于进一步压低换购价。</w:t>
      </w:r>
    </w:p>
    <w:p w14:paraId="0B292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形成“品牌出广告费+平台补贴+商家让利”三方共担的模式。</w:t>
      </w:r>
    </w:p>
    <w:p w14:paraId="078C3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A5EC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8507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 项目结果</w:t>
      </w:r>
    </w:p>
    <w:p w14:paraId="44F54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6.1 AB测试</w:t>
      </w:r>
    </w:p>
    <w:p w14:paraId="3EFF6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A：对照</w:t>
      </w:r>
      <w:r>
        <w:rPr>
          <w:rFonts w:hint="eastAsia"/>
          <w:sz w:val="24"/>
          <w:szCs w:val="24"/>
          <w:lang w:val="en-US" w:eastAsia="zh-CN"/>
        </w:rPr>
        <w:t>组，原逻辑</w:t>
      </w:r>
    </w:p>
    <w:p w14:paraId="6831C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B：实验组，接入RTB（不启用ROI平滑）</w:t>
      </w:r>
    </w:p>
    <w:p w14:paraId="641CC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C：实验组，接入RTB+ROI平滑</w:t>
      </w:r>
    </w:p>
    <w:p w14:paraId="2861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587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按uuid分流，</w:t>
      </w:r>
      <w:r>
        <w:rPr>
          <w:rFonts w:hint="default"/>
          <w:sz w:val="24"/>
          <w:szCs w:val="24"/>
          <w:lang w:val="en-US" w:eastAsia="zh-CN"/>
        </w:rPr>
        <w:t>三组各15%流量</w:t>
      </w:r>
    </w:p>
    <w:p w14:paraId="74365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7FE7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核心收入指标</w:t>
      </w:r>
    </w:p>
    <w:p w14:paraId="4C8FC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渗透率27.67%</w:t>
      </w:r>
    </w:p>
    <w:p w14:paraId="43859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9"/>
        <w:gridCol w:w="1764"/>
        <w:gridCol w:w="1803"/>
        <w:gridCol w:w="1993"/>
      </w:tblGrid>
      <w:tr w14:paraId="3BEABF83">
        <w:trPr>
          <w:trHeight w:val="596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C8124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指标 / 组别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4A4F7B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A 对照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1F1024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B 实验组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0E5A13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 实验组</w:t>
            </w:r>
          </w:p>
        </w:tc>
      </w:tr>
      <w:tr w14:paraId="5F7B384D">
        <w:trPr>
          <w:trHeight w:val="68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8B83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模块日曝光UV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E124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238，127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BCD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239，864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BEEF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240，115</w:t>
            </w:r>
          </w:p>
        </w:tc>
      </w:tr>
      <w:tr w14:paraId="602285C6">
        <w:trPr>
          <w:trHeight w:val="68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7388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模块CTR(%)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289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43.21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EC0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45.37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FED3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45.12</w:t>
            </w:r>
          </w:p>
        </w:tc>
      </w:tr>
      <w:tr w14:paraId="64400271">
        <w:trPr>
          <w:trHeight w:val="68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70E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模块CXR(%)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DD7A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6.78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31B1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7.03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7BD4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7.01</w:t>
            </w:r>
          </w:p>
        </w:tc>
      </w:tr>
      <w:tr w14:paraId="5ECCB35E">
        <w:trPr>
          <w:trHeight w:val="756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7CE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模块日订单数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6E2B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16，145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44AC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16，862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9CAC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16，832</w:t>
            </w:r>
          </w:p>
        </w:tc>
      </w:tr>
      <w:tr w14:paraId="2BA36EF0">
        <w:trPr>
          <w:trHeight w:val="22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AAE8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模块日GMV（万元）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4A36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9.69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B9DA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10.62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9C1B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10.44</w:t>
            </w:r>
          </w:p>
        </w:tc>
      </w:tr>
      <w:tr w14:paraId="4F92B83A">
        <w:trPr>
          <w:trHeight w:val="68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8D4C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广告填充率(%)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A146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9820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37.9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CBDB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37.8</w:t>
            </w:r>
          </w:p>
        </w:tc>
      </w:tr>
      <w:tr w14:paraId="20466327">
        <w:trPr>
          <w:trHeight w:val="68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9769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广告曝光UV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C7EC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253D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90，908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4AD6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90，763</w:t>
            </w:r>
          </w:p>
        </w:tc>
      </w:tr>
      <w:tr w14:paraId="705760DC">
        <w:trPr>
          <w:trHeight w:val="680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F9F1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广告 CPM（元）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6D41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34A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38.5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1B6E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37.2</w:t>
            </w:r>
          </w:p>
        </w:tc>
      </w:tr>
      <w:tr w14:paraId="659AA80B">
        <w:trPr>
          <w:trHeight w:val="541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6328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资源位 RPM（元/千曝光）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24A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BCF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14.59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667C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14.06</w:t>
            </w:r>
          </w:p>
        </w:tc>
      </w:tr>
      <w:tr w14:paraId="118CD137">
        <w:trPr>
          <w:trHeight w:val="665" w:hRule="atLeast"/>
        </w:trPr>
        <w:tc>
          <w:tcPr>
            <w:tcW w:w="1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33EE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日广告收入（万元）</w:t>
            </w:r>
          </w:p>
        </w:tc>
        <w:tc>
          <w:tcPr>
            <w:tcW w:w="10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4064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CE033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0.35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EA5E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0.338</w:t>
            </w:r>
          </w:p>
        </w:tc>
      </w:tr>
    </w:tbl>
    <w:p w14:paraId="7D095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D75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ROI稳定性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2580"/>
        <w:gridCol w:w="2388"/>
      </w:tblGrid>
      <w:tr w14:paraId="6767C4FE">
        <w:trPr>
          <w:trHeight w:val="90" w:hRule="atLeast"/>
        </w:trPr>
        <w:tc>
          <w:tcPr>
            <w:tcW w:w="20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BB76A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指标 / 组别</w:t>
            </w:r>
          </w:p>
        </w:tc>
        <w:tc>
          <w:tcPr>
            <w:tcW w:w="1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1292D6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B 实验组</w:t>
            </w:r>
          </w:p>
        </w:tc>
        <w:tc>
          <w:tcPr>
            <w:tcW w:w="1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3730BC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 实验组</w:t>
            </w:r>
          </w:p>
        </w:tc>
      </w:tr>
      <w:tr w14:paraId="139AFCD5">
        <w:trPr>
          <w:trHeight w:val="680" w:hRule="atLeast"/>
        </w:trPr>
        <w:tc>
          <w:tcPr>
            <w:tcW w:w="20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EB2A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7日ROI均值</w:t>
            </w:r>
          </w:p>
        </w:tc>
        <w:tc>
          <w:tcPr>
            <w:tcW w:w="1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2EC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2.84</w:t>
            </w:r>
          </w:p>
        </w:tc>
        <w:tc>
          <w:tcPr>
            <w:tcW w:w="1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A55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2.82</w:t>
            </w:r>
          </w:p>
        </w:tc>
      </w:tr>
      <w:tr w14:paraId="537E1295">
        <w:trPr>
          <w:trHeight w:val="680" w:hRule="atLeast"/>
        </w:trPr>
        <w:tc>
          <w:tcPr>
            <w:tcW w:w="20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84E1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7日ROI标准差</w:t>
            </w:r>
          </w:p>
        </w:tc>
        <w:tc>
          <w:tcPr>
            <w:tcW w:w="1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1E56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0.36</w:t>
            </w:r>
          </w:p>
        </w:tc>
        <w:tc>
          <w:tcPr>
            <w:tcW w:w="1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6253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0.21</w:t>
            </w:r>
          </w:p>
        </w:tc>
      </w:tr>
      <w:tr w14:paraId="765FEA2B">
        <w:trPr>
          <w:trHeight w:val="607" w:hRule="atLeast"/>
        </w:trPr>
        <w:tc>
          <w:tcPr>
            <w:tcW w:w="20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5E6D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7日ROI＜1.5的品牌数(个)</w:t>
            </w:r>
          </w:p>
        </w:tc>
        <w:tc>
          <w:tcPr>
            <w:tcW w:w="1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6180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1BD4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</w:t>
            </w:r>
          </w:p>
        </w:tc>
      </w:tr>
    </w:tbl>
    <w:p w14:paraId="33DEF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B116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6.4 数据结果解读</w:t>
      </w:r>
    </w:p>
    <w:p w14:paraId="5415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default"/>
          <w:b/>
          <w:bCs/>
          <w:sz w:val="24"/>
          <w:szCs w:val="24"/>
          <w:lang w:val="en-US" w:eastAsia="zh-CN"/>
        </w:rPr>
        <w:t>A对照vs.B接入RTB</w:t>
      </w:r>
    </w:p>
    <w:p w14:paraId="318F4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模块CTR：A 43.21%，B 45.37%</w:t>
      </w:r>
    </w:p>
    <w:p w14:paraId="2A7BF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→相对提升约5.0%。说明接入RTB后，整体加价换购区更“好点”了，首屏组合对用户吸引力更强。</w:t>
      </w:r>
    </w:p>
    <w:p w14:paraId="7D6C2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模块CXR：A 6.78%，B 7.03%</w:t>
      </w:r>
    </w:p>
    <w:p w14:paraId="45BAD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→相对提升约+3.7%。也就是从看到模块→下单的整链路效率有小幅正向，不是“加了广告就变难买”。</w:t>
      </w:r>
    </w:p>
    <w:p w14:paraId="5EA88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模块订单&amp;GMV：A：16145单，对应约9.69万元，B：16862单，对应约10.62万元，客单≈6.3元</w:t>
      </w:r>
    </w:p>
    <w:p w14:paraId="04AED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→订单数+4.4%，GMV+约9.6%。一方面多卖了一些；另一方面RTB推上来的货略贵一点。</w:t>
      </w:r>
    </w:p>
    <w:p w14:paraId="3D9CC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2BCA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B接入RTBvs.C接入RTB+ROI平滑</w:t>
      </w:r>
    </w:p>
    <w:p w14:paraId="5973B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行为&amp;收入侧</w:t>
      </w:r>
    </w:p>
    <w:p w14:paraId="34C8D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模块层面：</w:t>
      </w:r>
    </w:p>
    <w:p w14:paraId="20112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CTR：45.37%→45.12%，几乎没差；</w:t>
      </w:r>
    </w:p>
    <w:p w14:paraId="41F39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CXR：7.03%→7.01%，也是轻微回落；</w:t>
      </w:r>
    </w:p>
    <w:p w14:paraId="2B2BF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订单数：16862→16832，差30单，可以忽略；</w:t>
      </w:r>
    </w:p>
    <w:p w14:paraId="319A8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模块GMV：10.62万元→10.44万元，略低0.18万元/天（约1.7%）。</w:t>
      </w:r>
    </w:p>
    <w:p w14:paraId="2D09B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广告层面：</w:t>
      </w:r>
    </w:p>
    <w:p w14:paraId="21D91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填充率：37.90%→37.80%，几乎不变；</w:t>
      </w:r>
    </w:p>
    <w:p w14:paraId="0851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CPM：38.5元→37.2元，说明平滑后整体出价/有效出价略降；</w:t>
      </w:r>
    </w:p>
    <w:p w14:paraId="15B29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  <w:lang w:val="en-US" w:eastAsia="zh-CN"/>
        </w:rPr>
        <w:t>日广告收入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15%流量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rFonts w:hint="default"/>
          <w:sz w:val="24"/>
          <w:szCs w:val="24"/>
          <w:lang w:val="en-US" w:eastAsia="zh-CN"/>
        </w:rPr>
        <w:t>：0.35万元→0.338万元</w:t>
      </w:r>
    </w:p>
    <w:p w14:paraId="50D69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→全量折算：B≈2.33万元/天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C≈2.25万元/天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差不多少了0.08万元/天（≈800元/天级别）。</w:t>
      </w:r>
    </w:p>
    <w:p w14:paraId="57DAC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67B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3、总结来看</w:t>
      </w:r>
    </w:p>
    <w:p w14:paraId="68293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如果平台短期以“增收”为主，可以优先用B策略；</w:t>
      </w:r>
    </w:p>
    <w:p w14:paraId="40643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如果平台更关注“品牌ROI体验+长期合作”，可以用C作为默认配置，或对KA品牌单独切C策略。</w:t>
      </w:r>
    </w:p>
    <w:p w14:paraId="12C24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1C17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7 项目复盘</w:t>
      </w:r>
    </w:p>
    <w:p w14:paraId="76FC0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7.1 项目STAR</w:t>
      </w:r>
    </w:p>
    <w:p w14:paraId="2253F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项目背景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789F4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即时零售场景下，提单页的加价换购模块天然转化高，但长期只作为“促销工具”使用，没有沉淀为品牌可控流量。一方面，已配置加价换购活动的商家中约68%挂有品牌商品，品牌供给基础较好；另一方面，参与加价换购的品牌UPC中仅约31.5%有广告投放，品牌预算更多停留在线上其他资源位，加价换购场景的广告收入与可控流量都存在明显空间。</w:t>
      </w:r>
    </w:p>
    <w:p w14:paraId="03B3D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A237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项目目标</w:t>
      </w:r>
      <w:r>
        <w:rPr>
          <w:rFonts w:hint="eastAsia"/>
          <w:sz w:val="24"/>
          <w:szCs w:val="24"/>
          <w:lang w:val="en-US" w:eastAsia="zh-CN"/>
        </w:rPr>
        <w:t>：广告收入</w:t>
      </w:r>
    </w:p>
    <w:p w14:paraId="2D546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A80A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项目动作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289A3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1、供给与投放打通</w:t>
      </w:r>
    </w:p>
    <w:p w14:paraId="03EDA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2、召回排序与ROI控制</w:t>
      </w:r>
    </w:p>
    <w:p w14:paraId="5489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3、C端体验与风控保障</w:t>
      </w:r>
    </w:p>
    <w:p w14:paraId="6CBB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071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项目结果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219CD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RTB之后，加价换购模块链路效率略升（CXR从6.78%到7.03%），同时带来了约0.35万元/天的广告收入，对应全量约2.33万元/天。</w:t>
      </w:r>
    </w:p>
    <w:p w14:paraId="1256C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E9D0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9043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7.2 项目优化点</w:t>
      </w:r>
    </w:p>
    <w:p w14:paraId="3D34D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优化点1：ROI平滑加上“收益保护带”</w:t>
      </w:r>
    </w:p>
    <w:p w14:paraId="3F754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虽然C组ROI波动确实下来了（标准差0.36→0.21），但收入也跟着掉了一截，可以考虑把原来只看 ROI 的平滑，改成“ROI+收入双目标”：</w:t>
      </w:r>
    </w:p>
    <w:p w14:paraId="70A25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先设定一个“收益保护带”，比如：</w:t>
      </w:r>
    </w:p>
    <w:p w14:paraId="5FA2B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C组RPM相对B组不允许持续低于-3%</w:t>
      </w:r>
    </w:p>
    <w:p w14:paraId="07CEF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或日收入不允许低于B组的95%</w:t>
      </w:r>
    </w:p>
    <w:p w14:paraId="53C78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当 ROI 很好但收入掉太多时，弱化平滑力度，避免过度降出价。</w:t>
      </w:r>
    </w:p>
    <w:p w14:paraId="0CE0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4A2E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优化点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default"/>
          <w:b/>
          <w:bCs/>
          <w:sz w:val="24"/>
          <w:szCs w:val="24"/>
          <w:lang w:val="en-US" w:eastAsia="zh-CN"/>
        </w:rPr>
        <w:t>：广告补贴联动</w:t>
      </w:r>
    </w:p>
    <w:p w14:paraId="5DFF7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联通广告投放系统与加价换购活动配置系统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把加价换购广告位改造成一个价格更优的“强化版换购”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A162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结构变成“品牌广告费+平台补贴+商家让利=用户更低到手价”</w:t>
      </w:r>
    </w:p>
    <w:p w14:paraId="72B4A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平台对投到该场景的品牌,提供小比例的专属补贴,直接用于压低换购价</w:t>
      </w:r>
    </w:p>
    <w:p w14:paraId="4A839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C7A2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优化点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default"/>
          <w:b/>
          <w:bCs/>
          <w:sz w:val="24"/>
          <w:szCs w:val="24"/>
          <w:lang w:val="en-US" w:eastAsia="zh-CN"/>
        </w:rPr>
        <w:t>：品牌侧专属报表与智能出价助手</w:t>
      </w:r>
    </w:p>
    <w:p w14:paraId="48249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给加价换购场景做一套品牌视角的专属报表+出价助手:</w:t>
      </w:r>
    </w:p>
    <w:p w14:paraId="58FA8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报表:拆解到城市×商品×补贴档位</w:t>
      </w:r>
    </w:p>
    <w:p w14:paraId="31346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助手:根据历史ROI、CXR给出“建议出价区间”和“建议预算”</w:t>
      </w:r>
    </w:p>
    <w:p w14:paraId="6DA0F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026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5BA8D"/>
    <w:rsid w:val="07541D10"/>
    <w:rsid w:val="3FF7C405"/>
    <w:rsid w:val="46D688F0"/>
    <w:rsid w:val="61F64930"/>
    <w:rsid w:val="65FF343E"/>
    <w:rsid w:val="6BBF21C6"/>
    <w:rsid w:val="6EDB5A02"/>
    <w:rsid w:val="776DED87"/>
    <w:rsid w:val="777DDB72"/>
    <w:rsid w:val="7FDE1052"/>
    <w:rsid w:val="A3B7D7F3"/>
    <w:rsid w:val="CCFF0E3D"/>
    <w:rsid w:val="DDF9F7E8"/>
    <w:rsid w:val="DDFD2F18"/>
    <w:rsid w:val="DFDBF770"/>
    <w:rsid w:val="F3EF3AD5"/>
    <w:rsid w:val="F7E5BA8D"/>
    <w:rsid w:val="FD7EF5BE"/>
    <w:rsid w:val="FDADD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2025-12-10T10:46:00Z</dcterms:created>
  <dc:creator>zhuzhaohui </dc:creator>
  <cp:lastModifiedBy>zhuzhaohui </cp:lastModifiedBy>
  <dcterms:modified xsi:type="dcterms:W3CDTF">2025-12-17T03:13:13Z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2C896E4D155E3671856E386976DFA3F4_41</vt:lpwstr>
  </property>
</Properties>
</file>