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t>作品编号：2026012345        作品名称：智教编程 (EduCode AI)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84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1</w:t>
            </w:r>
          </w:p>
        </w:tc>
        <w:tc>
          <w:tcPr>
            <w:tcW w:w="2106" w:type="dxa"/>
            <w:vAlign w:val="center"/>
          </w:tcPr>
          <w:p>
            <w:r>
              <w:t>Gemini 2.5 Pro (Google AI Studio API), 2026年3月</w:t>
            </w:r>
          </w:p>
        </w:tc>
        <w:tc>
          <w:tcPr>
            <w:tcW w:w="2741" w:type="dxa"/>
            <w:vAlign w:val="center"/>
          </w:tcPr>
          <w:p>
            <w:r>
              <w:t>项目前期的功能逻辑架构设计与脚手架搭建方案验证</w:t>
            </w:r>
          </w:p>
        </w:tc>
        <w:tc>
          <w:tcPr>
            <w:tcW w:w="2727" w:type="dxa"/>
            <w:vAlign w:val="center"/>
          </w:tcPr>
          <w:p>
            <w:r>
              <w:t>“请提供一个基于 React 19 + Vite 6 + Express + Socket.io 的前后端实时通信脚手架项目目录设计推荐，并给出 package.json 的推荐依赖版本。”</w:t>
            </w:r>
          </w:p>
        </w:tc>
        <w:tc>
          <w:tcPr>
            <w:tcW w:w="1849" w:type="dxa"/>
            <w:vAlign w:val="center"/>
          </w:tcPr>
          <w:p>
            <w:r>
              <w:t>给出了包含组件化架构设计、类型声明文件 types.ts 以及基础 Express 跨域配置的完整脚手架参考骨架。</w:t>
            </w:r>
          </w:p>
        </w:tc>
        <w:tc>
          <w:tcPr>
            <w:tcW w:w="1895" w:type="dxa"/>
            <w:vAlign w:val="center"/>
          </w:tcPr>
          <w:p>
            <w:r>
              <w:t>保留了其目录设计精髓，但将路由和状态流全部手工改写为配合 Capacitor 和 Tauri 多端兼容的事件中心机制。</w:t>
            </w:r>
          </w:p>
        </w:tc>
        <w:tc>
          <w:tcPr>
            <w:tcW w:w="1646" w:type="dxa"/>
            <w:vAlign w:val="center"/>
          </w:tcPr>
          <w:p>
            <w:r>
              <w:t>AI生成内容占总体架构代码的10%，主要作为模板参考。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2</w:t>
            </w:r>
          </w:p>
        </w:tc>
        <w:tc>
          <w:tcPr>
            <w:tcW w:w="2106" w:type="dxa"/>
            <w:vAlign w:val="center"/>
          </w:tcPr>
          <w:p>
            <w:r>
              <w:t>DeepSeek-R1 (网页端), 2026年4月</w:t>
            </w:r>
          </w:p>
        </w:tc>
        <w:tc>
          <w:tcPr>
            <w:tcW w:w="2741" w:type="dxa"/>
            <w:vAlign w:val="center"/>
          </w:tcPr>
          <w:p>
            <w:r>
              <w:t>3D 伴学宠物 holographic 霓虹光圈 Canvas 波形动画算法优化</w:t>
            </w:r>
          </w:p>
        </w:tc>
        <w:tc>
          <w:tcPr>
            <w:tcW w:w="2727" w:type="dxa"/>
            <w:vAlign w:val="center"/>
          </w:tcPr>
          <w:p>
            <w:r>
              <w:t>“使用 HTML5 Canvas 绘制一条正弦波，并要求它具有 3 到 5 条子波纹，且波纹边缘向两端透明淡出，同时其振幅和频率可以根据外部状态参数（如 idle, thinking, speaking）进行动态呼吸插值过渡，给出高性能渲染循环的实现。”</w:t>
            </w:r>
          </w:p>
        </w:tc>
        <w:tc>
          <w:tcPr>
            <w:tcW w:w="1849" w:type="dxa"/>
            <w:vAlign w:val="center"/>
          </w:tcPr>
          <w:p>
            <w:r>
              <w:t>给出了使用 canvas 2D 绘图 API 结合 requestAnimationFrame 以及边缘正弦缩放器 (edgeScaler) 的算法原型。</w:t>
            </w:r>
          </w:p>
        </w:tc>
        <w:tc>
          <w:tcPr>
            <w:tcW w:w="1895" w:type="dxa"/>
            <w:vAlign w:val="center"/>
          </w:tcPr>
          <w:p>
            <w:r>
              <w:t>将其重构为 React useEffect 闭包，并与 ElectronicPets 组件中的 spongebob 和 patrick 两大角色色彩体系（青色和粉色霓虹光圈）以及 speaks/thinking 状态深度绑定。</w:t>
            </w:r>
          </w:p>
        </w:tc>
        <w:tc>
          <w:tcPr>
            <w:tcW w:w="1646" w:type="dxa"/>
            <w:vAlign w:val="center"/>
          </w:tcPr>
          <w:p>
            <w:r>
              <w:t>AI生成代码占总波形动画代码量的30%，提供了正弦边缘淡出数学公式的初始实现。</w:t>
            </w: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3</w:t>
            </w:r>
          </w:p>
        </w:tc>
        <w:tc>
          <w:tcPr>
            <w:tcW w:w="2106" w:type="dxa"/>
            <w:vAlign w:val="center"/>
          </w:tcPr>
          <w:p>
            <w:r>
              <w:t>Gemini 2.5 Flash (API), 2026年5月</w:t>
            </w:r>
          </w:p>
        </w:tc>
        <w:tc>
          <w:tcPr>
            <w:tcW w:w="2741" w:type="dxa"/>
            <w:vAlign w:val="center"/>
          </w:tcPr>
          <w:p>
            <w:r>
              <w:t>用于快速生成复杂的 Monaco Editor 代码折叠及特定语言高亮的自定义配置项</w:t>
            </w:r>
          </w:p>
        </w:tc>
        <w:tc>
          <w:tcPr>
            <w:tcW w:w="2727" w:type="dxa"/>
            <w:vAlign w:val="center"/>
          </w:tcPr>
          <w:p>
            <w:r>
              <w:t>“在 Monaco Editor React 包装器中，如何自定义折叠规则，使得当用户编写特定的 // #region AI_REVIEWS 时，编辑器能自动折叠该块？请给出配置项。”</w:t>
            </w:r>
          </w:p>
        </w:tc>
        <w:tc>
          <w:tcPr>
            <w:tcW w:w="1849" w:type="dxa"/>
            <w:vAlign w:val="center"/>
          </w:tcPr>
          <w:p>
            <w:r>
              <w:t>提供了一套 registerFoldingRangeProvider 接口的初始化和卸载逻辑配置脚本。</w:t>
            </w:r>
          </w:p>
        </w:tc>
        <w:tc>
          <w:tcPr>
            <w:tcW w:w="1895" w:type="dxa"/>
            <w:vAlign w:val="center"/>
          </w:tcPr>
          <w:p>
            <w:r>
              <w:t>将其整合到 CodingWorkspace.tsx 里的 monacoOnMount 事件中，并增加了对错误代码智能高亮和 AI 审查结果浮层的关联。</w:t>
            </w:r>
          </w:p>
        </w:tc>
        <w:tc>
          <w:tcPr>
            <w:tcW w:w="1646" w:type="dxa"/>
            <w:vAlign w:val="center"/>
          </w:tcPr>
          <w:p>
            <w:r>
              <w:t>AI生成代码占编辑器配置代码的15%，作为底层配置辅助。</w:t>
            </w: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4</w:t>
            </w:r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5</w:t>
            </w:r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6</w:t>
            </w:r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7</w:t>
            </w:r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8</w:t>
            </w:r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9</w:t>
            </w:r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  <w:tr w14:paraId="4C3F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43D3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vAlign w:val="center"/>
          </w:tcPr>
          <w:p w14:paraId="2BF2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2868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7BFE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0E94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3C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63FC5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26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F598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示例</w:t>
            </w:r>
          </w:p>
        </w:tc>
        <w:tc>
          <w:tcPr>
            <w:tcW w:w="2106" w:type="dxa"/>
            <w:vAlign w:val="center"/>
          </w:tcPr>
          <w:p w14:paraId="53A9C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DeepSeek-R1-0528，电脑客户端访问，2025年10月15日 14:30–16:15</w:t>
            </w:r>
          </w:p>
        </w:tc>
        <w:tc>
          <w:tcPr>
            <w:tcW w:w="2741" w:type="dxa"/>
            <w:vAlign w:val="center"/>
          </w:tcPr>
          <w:p w14:paraId="7E2C3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  <w:vAlign w:val="center"/>
          </w:tcPr>
          <w:p w14:paraId="3A894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  <w:vAlign w:val="center"/>
          </w:tcPr>
          <w:p w14:paraId="4BEC3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仅实现基础过滤，未处理时间序列连续性</w:t>
            </w:r>
          </w:p>
        </w:tc>
        <w:tc>
          <w:tcPr>
            <w:tcW w:w="1895" w:type="dxa"/>
            <w:vAlign w:val="center"/>
          </w:tcPr>
          <w:p w14:paraId="09774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增加滑动窗口校验、异常值标记功能，提升鲁棒性</w:t>
            </w:r>
          </w:p>
        </w:tc>
        <w:tc>
          <w:tcPr>
            <w:tcW w:w="1646" w:type="dxa"/>
            <w:vAlign w:val="center"/>
          </w:tcPr>
          <w:p w14:paraId="10099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AI生成内容占总代码量的15%，经人工重构后采纳率30%</w:t>
            </w:r>
          </w:p>
        </w:tc>
      </w:tr>
    </w:tbl>
    <w:p w14:paraId="002A452D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3A70F04C">
      <w:pPr>
        <w:rPr>
          <w:rFonts w:hint="eastAsia" w:ascii="Arial" w:hAnsi="Arial" w:eastAsia="宋体" w:cs="Arial"/>
          <w:color w:val="333333"/>
          <w:kern w:val="0"/>
          <w:szCs w:val="21"/>
        </w:rPr>
      </w:pPr>
      <w:bookmarkStart w:id="0" w:name="_GoBack"/>
      <w:bookmarkEnd w:id="0"/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w:t>DeepSeek-R1-0528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, 2025-11-03）</w:t>
                            </w:r>
                          </w:p>
                          <w:p w14:paraId="75436B9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</w:t>
                      </w:r>
                      <w:r>
                        <w:rPr>
                          <w:rFonts w:hint="eastAsia" w:ascii="宋体" w:hAnsi="宋体" w:eastAsia="宋体" w:cs="宋体"/>
                          <w:color w:val="auto"/>
                          <w:lang w:val="en-US" w:eastAsia="zh-CN"/>
                        </w:rPr>
                        <w:t>DeepSeek-R1-0528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, 2025-11-03）</w:t>
                      </w:r>
                    </w:p>
                    <w:p w14:paraId="75436B9A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5E875E06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序号1的佐证材料：</w:t>
        <w:br/>
        <w:t>1. AI工具对话记录截图说明：在项目启动阶段，团队与 Gemini 就前端组件划分和 package.json 依赖版本进行了深度交流，获得了高效的项目结构参考（参见附件截图 Gemini_architecture_chat.png）。</w:t>
        <w:br/>
        <w:t>2. 最终代码体现：在 src/types.ts 及 src/context/SocketContext.tsx 中，手工改写了所有底层 Socket 链接和状态流，确保了系统高并发的稳定性。</w:t>
      </w:r>
    </w:p>
    <w:p w14:paraId="4E5E823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序号2的佐证材料：</w:t>
        <w:br/>
        <w:t>1. AI工具算法推荐截图说明：团队就正弦波 Canvas 渲染的边缘消隐算法咨询了 DeepSeek-R1，获得了平滑的 edgeScaler 衰减系数计算公式（参见附件截图 DeepSeek_canvas_math.png）。</w:t>
        <w:br/>
        <w:t>2. 最终代码体现：在 components/student/ElectronicPets.tsx 文件的 L9-L94 中，完整整合了该边缘淡出数学公式，并融入了 SpongeBob/Patrick 的 NeonColor 霓虹波形和 canvas 尺寸自适应渲染。</w:t>
      </w:r>
    </w:p>
    <w:p w14:paraId="51D0E27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序号3的佐证材料：</w:t>
        <w:br/>
        <w:t>1. AI工具配置参考截图说明：团队就 Monaco Editor 自定义折叠标记咨询了 Gemini，并获得了 registerFoldingRangeProvider 配置范本（参见附件截图 Gemini_monaco_folding.png）。</w:t>
        <w:br/>
        <w:t>2. 最终代码体现：在 components/student/CodingWorkspace.tsx 的 L350-L400 编辑器加载钩子中，实现了自动收纳 AI 代码审计和评测结果的便捷折叠功能。</w:t>
      </w:r>
    </w:p>
    <w:p w14:paraId="0A8F541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序号4的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E0E282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序号5的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3354CB1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序号6的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596E07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序号7的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4BA2AA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序号8的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5AF83B2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序号9的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33FB06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588</Characters>
  <Lines>4</Lines>
  <Paragraphs>15</Paragraphs>
  <TotalTime>0</TotalTime>
  <ScaleCrop>false</ScaleCrop>
  <LinksUpToDate>false</LinksUpToDate>
  <CharactersWithSpaces>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北语李老师</cp:lastModifiedBy>
  <dcterms:modified xsi:type="dcterms:W3CDTF">2026-04-11T13:11:12Z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