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关于印发《上海市科技专家库管理办法》的通知</w:t>
      </w:r>
    </w:p>
    <w:p/>
    <w:p>
      <w:r>
        <w:t>## 文档 ：关于印发《上海市科技专家库管理办法》的通知.md</w:t>
        <w:br/>
        <w:br/>
        <w:t>### 基本信息</w:t>
        <w:br/>
        <w:t>- **文档类型**：政策类</w:t>
        <w:br/>
        <w:t>- **原文链接**：http://stcsm.sh.gov.cn/zwgk/kjzc/zcwj/kwzcxwj/20250728/6b57b7b32953419ba7d4186297038799.html</w:t>
        <w:br/>
        <w:t>- **发布机构**：上海市科学技术委员会</w:t>
        <w:br/>
        <w:t>- **发布日期**：2025-07-28</w:t>
        <w:br/>
        <w:t>- **文件名称**：上海市科技专家库管理办法</w:t>
        <w:br/>
        <w:t>- **文件编号**：沪科规〔2025〕5号</w:t>
        <w:br/>
        <w:br/>
        <w:t>### 全文概要</w:t>
        <w:br/>
        <w:t>本政策文件由上海市科委发布，旨在深化科技管理改革，完善评审专家的选取和使用，推进上海市科技专家库建设。办法明确了专家库的功能定位、入库条件与管理、选取使用规则、权利义务及监督管理等内容。专家按专长领域分为研究开发类、产业管理类、决策咨询类等七类，采取公开征集、特邀入库和交换共享三种方式入库，为上海市科技管理决策提供专业化支撑。</w:t>
        <w:br/>
        <w:br/>
        <w:t>&gt; **总分**：38.0/100</w:t>
        <w:br/>
        <w:br/>
        <w:t>### 相关段落</w:t>
        <w:br/>
        <w:t>&gt; 第十六条 市科委建立专家标识体系，并采用大数据和人工智能等技术，充分利用专家专长领域、研究成果等信息，提升专家选取科学性和精准性。</w:t>
        <w:br/>
        <w:t>&gt; - 评分：38/100 | 语义关联：时空智能 | 关键词：人工智能</w:t>
        <w:br/>
        <w:br/>
        <w:t>&gt; （三）布局方向。改革现有集成电路、生物医药、人工智能、绿色低碳等领域各类概念验证平台的运营机制，提升其概念验证的市场化运营和公共服务能力。围绕脑机接口、具身智能、合成生物学、细胞与基因治疗、集成电路材料、6G、硅光技术、第四代半导体等未来产业领域，新建一批概念验证平台；在量子科技、时空信息、类器官与再生医学等前沿科技领域，谋划储备一批概念验证平台。</w:t>
        <w:br/>
        <w:t>&gt; - 评分：38/100 | 语义关联：时空智能 | 关键词：时空信息、人工智能</w:t>
        <w:br/>
        <w:br/>
        <w:t>&gt; （三）大力引育项目经理人。通过概念验证平台自主培育，专业化第三方机构配置，培养一批具有"技术-商业"双轨能力的项目经理人。</w:t>
        <w:br/>
        <w:t>&gt; - 评分：38/100 | 语义关联：时空智能 | 关键词：人工智能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