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关于印发《杨“数”浦新质秀带创新区建设方案》的通知</w:t>
      </w:r>
    </w:p>
    <w:p/>
    <w:p>
      <w:r>
        <w:t>## 文档 ：关于印发《杨"数"浦新质秀带创新区建设方案》的通知.md</w:t>
        <w:br/>
        <w:br/>
        <w:t>### 基本信息</w:t>
        <w:br/>
        <w:t>- **文档类型**：政策类</w:t>
        <w:br/>
        <w:t>- **原文链接**：http://stcsm.sh.gov.cn/zwgk/ghjh/20250310/eb5f150f752a4a31851852848375bb25.html</w:t>
        <w:br/>
        <w:t>- **发布机构**：上海市科学技术委员会</w:t>
        <w:br/>
        <w:t>- **发布日期**：2025-03-10</w:t>
        <w:br/>
        <w:t>- **文件名称**：杨"数"浦新质秀带创新区建设方案</w:t>
        <w:br/>
        <w:t>- **文件编号**：沪科合〔2025〕7号</w:t>
        <w:br/>
        <w:br/>
        <w:t>### 全文概要</w:t>
        <w:br/>
        <w:t>本政策文件由上海市科委和杨浦区人民政府联合发布，旨在打造杨浦国家创新型城区升级版，加快推进杨"数"浦新质秀带创新区建设。方案覆盖杨浦区全域约60.61平方公里，设定2027年和2030年两个阶段目标，重点任务包括打造全球科创策源新高地、激发创新创业生态新活力、构建未来产业培育新机制、树立三区联动发展新标杆。政策聚焦数字经济、人工智能、北斗应用、量子科技等领域，推动创新创业要素集聚和科技成果转化。</w:t>
        <w:br/>
        <w:br/>
        <w:t>&gt; **总分**：80.0/100</w:t>
        <w:br/>
        <w:br/>
        <w:t>### 相关段落</w:t>
        <w:br/>
        <w:t>&gt; 深化上海数学与交叉学科研究院建设，打造国际顶级科学家交流对接平台。做实做强上海同济数字城市研究院等机构功能。围绕前沿交叉领域，支持建设类脑智能概念验证与转化创新中心，布局若干高水平新型研发机构。</w:t>
        <w:br/>
        <w:t>&gt; - 评分：75/100 | 语义关联：人工智能 | 关键词：人工智能、类脑智能</w:t>
        <w:br/>
        <w:br/>
        <w:t>&gt; 聚焦类脑智能细分领域，加快建设类脑智能未来产业科技园，提升类脑智能产业应用公共服务平台功能，培育类脑智能产业集群。聚焦北斗应用、位置感知、低空物流配送等领域，打造未来空间智能产业生态。</w:t>
        <w:br/>
        <w:t>&gt; - 评分：90/100 | 语义关联：导航应用 | 关键词：北斗应用、位置感知</w:t>
        <w:br/>
        <w:br/>
        <w:t>&gt; 聚焦数字经济主导产业优势，推动人工智能、量子科技、大数据等前沿技术在数字经济领域率先应用，催生新模式新业态。发挥数字经济头部企业引领作用，带动腰部和底部企业集群发展。</w:t>
        <w:br/>
        <w:t>&gt; - 评分：75/100 | 语义关联：人工智能 | 关键词：人工智能</w:t>
        <w:br/>
        <w:br/>
        <w:t>&gt; 发挥城市灵境场景创新中心功能，建设城市数字孪生应用场景。探索公共数据要素社会化开发利用新模式，加快建设数据创新实验室，构建数字赋能、全域覆盖的创新型城区。</w:t>
        <w:br/>
        <w:t>&gt; - 评分：70/100 | 语义关联：三维智能 | 关键词：数字孪生</w:t>
        <w:br/>
        <w:br/>
        <w:t>&gt; 深化科技成果转化体制机制改革。加快推进职务科技成果资产单列管理、科技成果转化股权和现金奖励、职务科技成果全赋权、科研人员创业等改革措施落地。支持技术经理人、专利工程师、资产评估师等复合式人才发挥作用，提升转化成功率。强化人才、资金等要素配置保障，打造高校科技成果转移转化示范区。</w:t>
        <w:br/>
        <w:t>&gt; - 评分：50/100 | 语义关联：智能制造 | 关键词：无</w:t>
        <w:br/>
        <w:br/>
        <w:t>&gt; 探索金融赋能科技新路径。建设股权投资集聚区，组建"政府引导+国有母基金+市场化子基金"的产业基金。加快建设财大校友基金集聚区。鼓励孵化器、大学科技园等发起设立早期基金，深化"拨投贷联动""科技成果+认股权"等机制创新，加快孵化硬科技企业。</w:t>
        <w:br/>
        <w:t>&gt; - 评分：50/100 | 语义关联：智能制造 | 关键词：无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