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问答实录：《关于加快推动前沿技术创新与未来产业培育的若干措施》有关情况</w:t>
      </w:r>
    </w:p>
    <w:p/>
    <w:p>
      <w:r>
        <w:t>## 文档 ：问答实录：《关于加快推动前沿技术创新与未来产业培育的若干措施》有关情况.md</w:t>
        <w:br/>
        <w:br/>
        <w:t>### 基本信息</w:t>
        <w:br/>
        <w:t>- **文档类型**：政策类</w:t>
        <w:br/>
        <w:t>- **原文链接**：http://stcsm.sh.gov.cn/zwgk/hygq/rdhy/20251013/d1de930699b647deb51832bd6024b877.html</w:t>
        <w:br/>
        <w:t>- **发布机构**：上海市科学技术委员会</w:t>
        <w:br/>
        <w:t>- **发布日期**：2025-10-13</w:t>
        <w:br/>
        <w:t>- **文件名称**：关于加快推动前沿技术创新与未来产业培育的若干措施</w:t>
        <w:br/>
        <w:t>- **文件编号**：无</w:t>
        <w:br/>
        <w:br/>
        <w:t>### 全文概要</w:t>
        <w:br/>
        <w:t>本政策文件为《关于加快推动前沿技术创新与未来产业培育的若干措施》的问答实录，上海市科委等部门负责人回应了关于未来产业重点领域确定、战略性新兴产业发展、企业创新能力提升、未来产业培育机制、浦东未来产业集聚区建设等方面的问题。文件涵盖细胞与基因治疗、脑机接口、硅光、6G、类脑智能、量子计算、可控核聚变等未来产业领域，介绍了"四位一体"培育机制及各项支持政策。</w:t>
        <w:br/>
        <w:br/>
        <w:t>&gt; **总分**：36.5/100</w:t>
        <w:br/>
        <w:br/>
        <w:t>### 相关段落</w:t>
        <w:br/>
        <w:t>&gt; 对中期、处于产品研发阶段的领域，比如硅光领域，我市持续打出创新资源"组合拳"，启动建设硅光未来产业集聚区，组建硅光创新联盟，设立硅光基金矩阵，在光互连、光计算、光传感方向上创新产品持续涌现。类脑智能领域，类脑感算一体融合相机、类脑双目视觉系统已成功研发并实现产业化应用，类脑感知、类脑计算芯片与系统、类脑大模型等一批原创成果也正加速研发与转化。</w:t>
        <w:br/>
        <w:t>&gt; - 评分：38/100 | 语义关联：时空智能 | 关键词：人工智能、类脑智能</w:t>
        <w:br/>
        <w:br/>
        <w:t>&gt; 场景牵引，打造标志性产品。建设标杆示范场景。组织未来产业重点领域示范场景征集，定期遴选一批可复制、可推广的未来产业典型场景。对标杆示范场景给予奖励支持。鼓励新产品示范应用。支持未来产业创新产品市场化应用推广，按核定合同金额给予最高30%、最高2000万元支持。推动具身智能机器人等未来高端装备量产、软件首版次、新材料首批次应用、优化"免申即享"补贴等，形成标杆产品示范效应，构筑未来产业竞争新优势。</w:t>
        <w:br/>
        <w:t>&gt; - 评分：38/100 | 语义关联：时空智能 | 关键词：具身智能</w:t>
        <w:br/>
        <w:br/>
        <w:t>&gt; 系统推进，布局重点产业平台。围绕未来产业领域，储备培育一批产业创新平台。通过揭榜挂帅形式，启动生物制造、量子科技、6G等9个领域35个未来产业试验场建设，加速新产品验证和迭代；支持推进张江、临港和大零号湾等首批市级未来产业先导区建设，力争建设国家级先导区；支持人形机器人、新型储能等领域第一批示范性市级中试平台建设，加快未来产业新技术向现实生产力转化。</w:t>
        <w:br/>
        <w:t>&gt; - 评分：35/100 | 语义关联：时空智能 | 关键词：6G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