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问答实录：《关于进一步深化改革创新_加快科技服务业高质量发展的若干意见》的有关情况</w:t>
      </w:r>
    </w:p>
    <w:p/>
    <w:p>
      <w:r>
        <w:t>## 文档分析结果</w:t>
        <w:br/>
        <w:br/>
        <w:t>**文档来源**: 问答实录：《关于进一步深化改革创新 加快科技服务业高质量发展的若干意见》的有关情况.md</w:t>
        <w:br/>
        <w:br/>
        <w:t>### 基本信息</w:t>
        <w:br/>
        <w:t>- **文档类型**：非政策类（政策解读/问答实录）</w:t>
        <w:br/>
        <w:t>- **原文链接**：http://stcsm.sh.gov.cn/zwgk/hygq/rdhy/20250523/f01fbb240da54bf5b6e823d1df8d343c.html</w:t>
        <w:br/>
        <w:t>- **发布机构**：上海市科学技术委员会</w:t>
        <w:br/>
        <w:t>- **发布日期**：2025-05-23</w:t>
        <w:br/>
        <w:t>- **文件名称**：问答实录：《关于进一步深化改革创新 加快科技服务业高质量发展的若干意见》的有关情况</w:t>
        <w:br/>
        <w:t>- **文件编号**：无</w:t>
        <w:br/>
        <w:br/>
        <w:t>### 全文概要</w:t>
        <w:br/>
        <w:t>本文为上海市科学技术委员会关于《进一步深化改革创新加快科技服务业高质量发展的若干意见》的政策问答实录。内容涵盖概念验证、检验检测认证、浦东科技服务业发展、科技社团角色、知识产权服务、科技企业融资等多个主题。发布机构就科技服务业高质量发展相关问题接受媒体采访，详细解读政策要点和实施措施。</w:t>
        <w:br/>
        <w:br/>
        <w:t>&gt; **总分**：55.0/100</w:t>
        <w:br/>
        <w:br/>
        <w:t>### 相关段落</w:t>
        <w:br/>
        <w:br/>
        <w:t>&gt; 张彤：二是科技资源要素加速集聚。已建、在建、拟建的大科学设施达到14个。李政道研究所、上海张江数学研究院等一批基础研究机构相继落地。建设7家高质量孵化器、202家创新型孵化器、9家科技企业加速器，107家大企业开放创新中心，构建覆盖企业全生命周期的服务支持体系。</w:t>
        <w:br/>
        <w:t>&gt; - 评分：55/100 | 语义关联：科技创新 | 关键词：无</w:t>
        <w:br/>
        <w:br/>
        <w:t>&gt; 张彤：二是增强成果转化全球吸引力。我们将在具身机器人、合成生物、**卫星互联网**等领域，强化科技公共服务平台建设。打通高校院所与本地孵化载体、大企业开放创新中心、特色园区衔接路径，推动产业链上下游协同创新，提升产业整体竞争力。</w:t>
        <w:br/>
        <w:t>&gt; - 评分：75/100 | 语义关联：卫星互联网 | 关键词：卫星互联网</w:t>
        <w:br/>
        <w:br/>
        <w:t>&gt; 陈馨：科技社团，是由科技工作者自愿组成的专业性的社会组织，包括学会、协会、研究会，是科技服务业高质量发展中一支重要的社会力量。</w:t>
        <w:br/>
        <w:t>&gt; - 评分：50/100 | 语义关联：科技服务 | 关键词：无</w:t>
        <w:br/>
        <w:br/>
        <w:t>&gt; 卫岚：知识产权服务业是科技服务业的重要组成部分。市知识产权局聚焦市场主体和创新主体的感受度，高标准谋划知识产权服务业发展，发挥知识产权制度供给和技术供给的双重作用，助推科技服务业高质量发展。</w:t>
        <w:br/>
        <w:t>&gt; - 评分：50/100 | 语义关联：知识产权服务 | 关键词：无</w:t>
        <w:br/>
        <w:br/>
        <w:t>&gt; 翟金国：一是降低融资成本。进一步扩大政策工具支持范围，着力引导金融机构缓解科技服务业企业的融资难题，降低企业融资成本。如，将科技服务业企业纳入"沪科专贷""沪科专贴"支持范围，进一步提高再贷款、再贴现的规模，有效降低科技服务业企业贷款成本。对科技服务业企业"科技履约贷"承担的保费提供保费补贴，进一步缓解成本压力，鼓励企业加大研发投入提高研发能力。</w:t>
        <w:br/>
        <w:t>&gt; - 评分：50/100 | 语义关联：科技金融 | 关键词：无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