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政策分析结果</w:t>
      </w:r>
    </w:p>
    <w:p>
      <w:r>
        <w:rPr>
          <w:b/>
          <w:sz w:val="28"/>
        </w:rPr>
        <w:t>总分: 64.7/100</w:t>
      </w:r>
    </w:p>
    <w:p>
      <w:pPr>
        <w:pStyle w:val="Heading1"/>
      </w:pPr>
      <w:r>
        <w:t>文档 ：工业和信息化部等七部门关于推动未来产业创新发展的实施意见.md</w:t>
      </w:r>
    </w:p>
    <w:p>
      <w:pPr>
        <w:pStyle w:val="Heading2"/>
      </w:pPr>
      <w:r>
        <w:t>基本信息</w:t>
      </w:r>
    </w:p>
    <w:p>
      <w:r>
        <w:t>- **文档类型**：政策类</w:t>
      </w:r>
    </w:p>
    <w:p>
      <w:r>
        <w:t>- **原文链接**：https://www.gov.cn/zhengce/zhengceku/202401/content_6929021.htm</w:t>
      </w:r>
    </w:p>
    <w:p>
      <w:r>
        <w:t>- **发布机构**：工业和信息化部、教育部、科学技术部、交通运输部、文化和旅游部、国务院国有资产监督管理委员会、中国科学院</w:t>
      </w:r>
    </w:p>
    <w:p>
      <w:r>
        <w:t>- **发布日期**：2024年1月18日</w:t>
      </w:r>
    </w:p>
    <w:p>
      <w:r>
        <w:t>- **文件名称**：工业和信息化部等七部门关于推动未来产业创新发展的实施意见</w:t>
      </w:r>
    </w:p>
    <w:p>
      <w:r>
        <w:t>- **文件编号**：工信部联科〔2024〕12号</w:t>
      </w:r>
    </w:p>
    <w:p>
      <w:pPr>
        <w:pStyle w:val="Heading2"/>
      </w:pPr>
      <w:r>
        <w:t>全文概要</w:t>
      </w:r>
    </w:p>
    <w:p>
      <w:r>
        <w:t>本文档是工信部等七部门联合发布的未来产业创新发展指导政策，旨在推动未来制造、未来信息、未来材料、未来能源、未来空间和未来健康六大方向产业发展。文件明确了2025年和2027年发展目标，提出加强前沿技术攻关、突破智能终端与高端装备、培育企业梯队、丰富应用场景等重点任务，为我国未来产业发展提供系统性政策指引。</w:t>
      </w:r>
    </w:p>
    <w:p>
      <w:pPr>
        <w:pStyle w:val="Heading2"/>
      </w:pPr>
      <w:r>
        <w:t>相关段落</w:t>
      </w:r>
    </w:p>
    <w:p>
      <w:r>
        <w:t>（一）全面布局未来产业</w:t>
      </w:r>
    </w:p>
    <w:p>
      <w:r>
        <w:t>&gt;</w:t>
      </w:r>
    </w:p>
    <w:p>
      <w:r>
        <w:t>1.加强前瞻谋划部署。把握全球科技创新和产业发展趋势，重点推进未来制造、未来信息、未来材料、未来能源、未来空间和未来健康六大方向产业发展。打造未来产业瞭望站，利用人工智能、先进计算等技术精准识别和培育高潜能未来产业。发挥新型举国体制优势，引导地方结合产业基础和资源禀赋，合理规划、精准培育和错位发展未来产业。发挥前沿技术增量器作用，瞄准高端、智能和绿色等方向，加快传统产业转型升级，为建设现代化产业体系提供新动力。</w:t>
      </w:r>
    </w:p>
    <w:p>
      <w:r>
        <w:rPr>
          <w:i/>
        </w:rPr>
        <w:t>评分: 52/100 | 领域: [精准农业][导航应用][三维智能] | 关键词：智能制造、数字化转型 | 关键词: 智能制造、数字化转型</w:t>
      </w:r>
    </w:p>
    <w:p>
      <w:r>
        <w:t>4.突破下一代智能终端。发展适应通用智能趋势的工业终端产品，支撑工业生产提质增效，赋能新型工业化。发展量大面广、智能便捷、沉浸体验的消费级终端，满足数字生活、数字文化、公共服务等新需求。打造智能适老的医疗健康终端，提升人民群众生命健康质量。突破高级别智能网联汽车、元宇宙入口等具有爆发潜能的超级终端，构筑产业竞争新优势。</w:t>
      </w:r>
    </w:p>
    <w:p>
      <w:r>
        <w:rPr>
          <w:i/>
        </w:rPr>
        <w:t>评分: 72/100 | 领域: [导航应用][低空经济] | 关键词：智能网联汽车、元宇宙入口、智能终端 | 关键词: 智能网联汽车、元宇宙入口、智能终端</w:t>
      </w:r>
    </w:p>
    <w:p>
      <w:r>
        <w:t>5.做优信息服务产品。发展下一代操作系统，构筑安全可靠的数字底座。推广开源技术，建设开源社区，构建开源生态体系。探索以区块链为核心技术、以数据为关键要素，构建下一代互联网创新应用和数字化生态。面向新一代移动信息网络、类脑智能等加快软件产品研发，鼓励新产品示范应用，激发信息服务潜能。</w:t>
      </w:r>
    </w:p>
    <w:p>
      <w:r>
        <w:rPr>
          <w:i/>
        </w:rPr>
        <w:t>评分: 55/100 | 领域: [卫星互联网] | 关键词：下一代互联网、区块链 | 关键词: 下一代互联网、区块链</w:t>
      </w:r>
    </w:p>
    <w:p>
      <w:r>
        <w:t>6.做强未来高端装备。面向国家重大战略需求和人民美好生活需要，加快实施重大技术装备攻关工程，突破人形机器人、量子计算机、超高速列车、下一代大飞机、绿色智能船舶、无人船艇等高端装备产品，以整机带动新技术产业化落地，打造全球领先的高端装备体系。深入实施产业基础再造工程，补齐基础元器件、基础零部件、基础材料、基础工艺和基础软件等短板，夯实未来产业发展根基。</w:t>
      </w:r>
    </w:p>
    <w:p>
      <w:r>
        <w:rPr>
          <w:i/>
        </w:rPr>
        <w:t>评分: 78/100 | 领域: [海洋测绘][低空经济] | 关键词：绿色智能船舶、无人船艇、高端装备 | 关键词: 绿色智能船舶、无人船艇、高端装备</w:t>
      </w:r>
    </w:p>
    <w:p>
      <w:r>
        <w:t>（四）壮大产业主体</w:t>
      </w:r>
    </w:p>
    <w:p>
      <w:r>
        <w:t>&gt;</w:t>
      </w:r>
    </w:p>
    <w:p>
      <w:r>
        <w:t>7.培育高水平企业梯队。引导领军企业前瞻谋划新赛道，通过内部创业、投资孵化等培育未来产业新主体。实施中央企业未来产业启航行动计划，加快培育未来产业新企业。建设未来产业创新型中小企业孵化基地，梯度培育专精特新中小企业、高新技术企业和"小巨人"企业。支持新型研发机构快速发展，培育多元化的未来产业推进力量。</w:t>
      </w:r>
    </w:p>
    <w:p>
      <w:r>
        <w:rPr>
          <w:i/>
        </w:rPr>
        <w:t>评分: 50/100 | 领域: [导航应用] | 关键词：创新孵化、技术创新 | 关键词: 创新孵化、技术创新</w:t>
      </w:r>
    </w:p>
    <w:p>
      <w:r>
        <w:t>10.开拓新型工业化场景。围绕装备、原材料、消费品等重点领域，面向设计、生产、检测、运维等环节打造应用试验场，以产品规模化迭代应用促进未来产业技术成熟。深化新一代信息技术与制造业融合，加快推动产业链结构、流程与模式重构，开拓未来制造新应用。发挥中央企业丰富场景优势，加快建设多元化未来制造场景。加快工业元宇宙、生物制造等新兴场景推广，以场景创新带动制造业转型升级。</w:t>
      </w:r>
    </w:p>
    <w:p>
      <w:r>
        <w:rPr>
          <w:i/>
        </w:rPr>
        <w:t>评分: 58/100 | 领域: [三维智能][时空智能] | 关键词：工业元宇宙、智能制造 | 关键词: 工业元宇宙、智能制造</w:t>
      </w:r>
    </w:p>
    <w:p>
      <w:r>
        <w:t>16.强化新型基础设施。深入推进5G、算力基础设施、工业互联网、物联网、车联网、千兆光网等建设，前瞻布局6G、卫星互联网、手机直连卫星等关键技术研究，构建高速泛在、集成互联、智能绿色、安全高效的新型数字基础设施。引导重大科技基础设施服务未来产业，深化设施、设备和数据共享，加速前沿技术转化应用。推进新一代信息技术向交通、能源、水利等传统基础设施融合赋能，发展公路数字经济，加快基础设施数字化转型。</w:t>
      </w:r>
    </w:p>
    <w:p>
      <w:r>
        <w:rPr>
          <w:i/>
        </w:rPr>
        <w:t>评分: 82/100 | 领域: [卫星互联网][导航应用][三维智能] | 关键词：物联网、车联网、卫星互联网、手机直连卫星、数字基础设施 | 关键词: 物联网、车联网、卫星互联网、手机直连卫星、数字基础设施</w:t>
      </w:r>
    </w:p>
    <w:p>
      <w:r>
        <w:t>（三）强化安全治理。坚持包容审慎的治理理念，探索跨部门联合治理模式，构建多方参与、有效协同的未来产业治理格局。加强伦理规范研究，科学划定"红线"和"底线"，构建鉴别-评估-防御-治理一体化机制。引导企业建立数据管理、产品开发等自律机制，完善安全监测、预警分析和应急处置手段，防范前沿技术应用风险。</w:t>
      </w:r>
    </w:p>
    <w:p>
      <w:r>
        <w:rPr>
          <w:i/>
        </w:rPr>
        <w:t>评分: 56/100 | 领域: [形变监测] | 关键词：安全监测、预警分析 | 关键词: 安全监测、预警分析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