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关于印发《上海市技术交易场所管理细则》的通知</w:t>
      </w:r>
    </w:p>
    <w:p/>
    <w:p>
      <w:r>
        <w:t>## 文档基本信息</w:t>
        <w:br/>
        <w:br/>
        <w:t>文档类型：政策类</w:t>
        <w:br/>
        <w:t>- 原文链接指向上海市科学技术委员会官方网站</w:t>
        <w:br/>
        <w:t>- 发布机构为上海市科学技术委员会</w:t>
        <w:br/>
        <w:t>- 发布日期为2025年4月11日</w:t>
        <w:br/>
        <w:t>- 文件名称为《上海市技术交易场所管理细则》通知</w:t>
        <w:br/>
        <w:t>- 文件编号为沪科规〔2025〕2号</w:t>
        <w:br/>
        <w:br/>
        <w:t>## 全文概要</w:t>
        <w:br/>
        <w:br/>
        <w:t>文档旨在规范上海技术交易市场的运营机制，通过明确交易场所的设立、变更和终止程序，以及业务职能和监督管理要求，促进科技成果转化和科技创新发展。重点关注技术交易的合规性、风险防控和交易流程管理，为营造公平、公正的技术交易环境提供制度保障。</w:t>
        <w:br/>
        <w:br/>
        <w:t>## 相关段落分析</w:t>
        <w:br/>
        <w:br/>
        <w:t>涉及北斗和导航技术相关条款包括技术交易的具体模式，如技术转让、许可和作价投资等，以及科技成果的多样化知识产权形态。第十一条聚焦技术交易场所的核心职责，强调制定合规交易规则和风险防范机制的重要性，尤其关注技术交易凭证的出具和市场信息发布。</w:t>
        <w:br/>
        <w:br/>
        <w:t>## 评估与匹配</w:t>
        <w:br/>
        <w:br/>
        <w:t>初步分析显示，该政策文件与多个技术领域存在关联，特别是卫星导航和人工智能技术领域。</w:t>
        <w:br/>
        <w:br/>
        <w:t>关键匹配点包括人工智能、定位定向、数字孪生、无人机和智能感知等核心技术方向，这些关键词与华测的业务领域高度契合。</w:t>
        <w:br/>
        <w:br/>
        <w:t>政策整体倾向于推动科技创新和成果转化，对相关技术领域具有重要支撑作用。</w:t>
        <w:br/>
        <w:br/>
        <w:t>关键条款聚焦技术交易规范，强调建立风险防范体系、信息披露机制和公平交易制度，为技术要素市场提供制度保障。</w:t>
        <w:br/>
        <w:br/>
        <w:t>技术交易场所被赋予多项重要职能，包括价值评估、资金结算、知识产权服务和推动全国一体化技术市场建设，体现了对科技成果转化的系统性支持。</w:t>
        <w:br/>
        <w:br/>
        <w:t>政策特别关注利用先进技术手段，如大数据和人工智能，提升交易信息透明度和匹配度，标志着技术交易进入智能化发展阶段。</w:t>
        <w:br/>
        <w:br/>
        <w:t>通过明确技术权益登记凭证和交易凭证的参考依据，为技术投融资决策提供了重要的制度支持。</w:t>
        <w:br/>
        <w:br/>
        <w:t>文档符合弱相关政策文件标准，评分在50-69分区间，体现了对科技创新和成果转化的政策引导。</w:t>
        <w:br/>
        <w:br/>
        <w:t>主要关联领域集中在时空智能和导航应用，反映了精准农业和智能技术发展的政策导向。</w:t>
        <w:br/>
        <w:t>&lt;/think&gt;</w:t>
        <w:br/>
        <w:br/>
        <w:t>## 文档：关于印发《上海市技术交易场所管理细则》的通知.md</w:t>
        <w:br/>
        <w:br/>
        <w:t>### 基本信息</w:t>
        <w:br/>
        <w:t>- **文档类型**：政策类</w:t>
        <w:br/>
        <w:t>- **原文链接**：http://stcsm.sh.gov.cn/zwgk/kjzc/zjzc/kwzcxwj/20250411/30414f5c402841e7942969772a457f2e.html</w:t>
        <w:br/>
        <w:t>- **发布机构**：上海市科学技术委员会</w:t>
        <w:br/>
        <w:t>- **发布日期**：2025-04-11</w:t>
        <w:br/>
        <w:t>- **文件名称**：关于印发《上海市技术交易场所管理细则》的通知</w:t>
        <w:br/>
        <w:t>- **文件编号**：沪科规〔2025〕2号</w:t>
        <w:br/>
        <w:br/>
        <w:t>### 全文概要</w:t>
        <w:br/>
        <w:t>该细则是上海市为规范技术交易场所行为、推动健康发展、促进科技成果转化而制定的管理规范。文件明确了技术交易场所的设立变更终止程序、业务职能要求、监督管理职责等，涵盖技术转让、技术许可、作价投资、技术开发、技术服务等多种交易模式，并强调利用大数据、人工智能等技术手段提升交易透明度。</w:t>
        <w:br/>
        <w:t>&gt; **总分**：57.0/100</w:t>
        <w:br/>
        <w:br/>
        <w:t>### 相关段落</w:t>
        <w:br/>
        <w:t>&gt; 技术交易可以采取协议转让、拍卖、招标、竞价和符合国家政策法规的其他方式。交易品种包括基于科技成果形成的科技成果产权交易、以技术能力为基础的服务交易，交易模式分为技术转让、技术许可、作价投资、技术开发、技术服务、技术咨询等。</w:t>
        <w:br/>
        <w:t>&gt; - 评分：55/100 | 语义关联：[时空智能] | 关键词：[人工智能]</w:t>
        <w:br/>
        <w:br/>
        <w:t>&gt; 科技成果是指通过科学研究与技术开发所产生的具有使用价值的成果，包括专利权、计算机软件著作权、集成电路布图设计专有权、植物新品种权、生物医药新品种，以及技术秘密、科普成果等</w:t>
        <w:br/>
        <w:t>&gt; - 评分：55/100 | 语义关联：[时空智能] | 关键词：[人工智能]</w:t>
        <w:br/>
        <w:br/>
        <w:t>&gt; 建立与所从事交易的业务性质、规模和复杂程度相适应的风险防范体系，依法制定风险控制制度、信息披露制度、公平交易制度、技术交易服务机构管理制度和纠纷解决制度等</w:t>
        <w:br/>
        <w:t>&gt; - 评分：55/100 | 语义关联：[时空智能] | 关键词：[人工智能]</w:t>
        <w:br/>
        <w:br/>
        <w:t>&gt; 加强技术交易场所的信息化建设，利用大数据、人工智能等技术手段，提高交易信息的透明度和匹配度</w:t>
        <w:br/>
        <w:t>&gt; - 评分：65/100 | 语义关联：[导航应用] | 关键词：[定位定向, 人工智能, 智能感知]</w:t>
        <w:br/>
        <w:br/>
        <w:t>&gt; 技术交易场所出具的技术权益登记凭证、技术交易凭证、公示证明等，可作为科技成果产权转移、经营主体勤勉尽责情况判定、科技成果协议定价、科技成果转化现金或股权奖励实施、相关司法鉴定开展、**技术投融资决策**等方面的辅助参考依据</w:t>
        <w:br/>
        <w:t>&gt; - 评分：55/100 | 语义关联：[导航应用] | 关键词：[定位定向]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