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九章云极云 GPU 服务器性能评测报告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测试日期：</w:t>
      </w:r>
      <w:r>
        <w:rPr>
          <w:rFonts w:eastAsia="等线" w:ascii="Arial" w:cs="Arial" w:hAnsi="Arial"/>
          <w:sz w:val="22"/>
        </w:rPr>
        <w:t xml:space="preserve"> 2026年3月6日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测试机器：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ssh root@60.171.65.125 -p 30213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运行环境：</w:t>
      </w:r>
      <w:r>
        <w:rPr>
          <w:rFonts w:eastAsia="等线" w:ascii="Arial" w:cs="Arial" w:hAnsi="Arial"/>
          <w:sz w:val="22"/>
        </w:rPr>
        <w:t xml:space="preserve"> Kubernetes 容器（非裸金属）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一、服务器硬件配置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配置详情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GPU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8× NVIDIA H100 80GB HBM3 (SXM5)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GPU 驱动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580.126.09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CUDA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12.8 (nvcc) / 13.0 (driver)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GPU 互联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NVLink 4.0, 18 links 全互联 (每对 GPU 间 900 GB/s 双向)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CPU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2× Intel Xeon Platinum 8468 @ 2.10GHz (96C/192T 总计)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内存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 TB DDR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存储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49GB overlay (系统) + 879GB NVMe + 4TB containerd + 404TB NFS 共享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PCIe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 5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10× InfiniBand/RoCE 网卡 (含 mlx5_bond_0)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操作系统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 22.04.5 LTS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PyTorch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2.8.0+cu128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虚拟化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 (Kubernetes pod)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二、核心算力性能 (Compute Performance)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GEMM 矩阵乘法基准测试 (8192×8192, 单卡 GPU 0)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 TFLOPS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理论峰值 TFLOPS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FP32 (TF32 enabled)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414.3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495 (TF32 Tensor)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83.7%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FP16 (Tensor Core)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767.3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989 (FP16 Tensor)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77.6%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良好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BF16 (Tensor Core)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796.0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989 (BF16 Tensor)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80.5%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良好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H100 SXM5 理论峰值 — FP32: 66.9 TFLOPS (CUDA Core), TF32: 495 TFLOPS (Tensor Core, 含稀疏可达 989), FP16/BF16: 989 TFLOPS (Tensor Core, 含稀疏可达 1979)。实测结果基于 cuBLAS 稠密 GEMM，达到 Tensor Core 非稀疏峰值的 ~80%，属于正常优秀水平。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多卡并行 GEMM (FP16, 4096×4096, 全部 8 卡)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TFLOPS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sz w:val="22"/>
              </w:rPr>
              <w:t>严重异常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745.4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616.0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偏低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618.2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偏低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758.3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762.3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742.4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4934.5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⚠️ 关注点：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GPU 0 在多卡并行测试中仅 0.9 TFLOPS，但在单卡 GEMM 和 gpu-burn 压力测试中表现正常（51522 Gflop/s）。这可能是多线程竞争或 NUMA 亲和性导致的测试偶发问题。GPU 2/3 也略低于其他卡约 15%。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三、显存与数据吞吐 (Memory &amp; I/O)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HBM3 显存带宽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测试规模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实测带宽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理论峰值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256MB copy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2787.5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3350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83.2%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1GB copy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2825.6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3350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84.3%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H100 SXM5 HBM3 标称带宽 3.35 TB/s。实测 ~2826 GB/s 达到理论的 84%，这是典型的优秀水平。裸金属通常可达 85-90%，容器环境 84% 说明无明显虚拟化开销。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磁盘 I/O (Direct IO)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顺序写 (4GB)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1.1 GB/s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一般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顺序读 (4GB)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1.9 GB/s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一般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overlay 文件系统（容器层），非直接 NVMe。NVMe 裸盘通常可达 3-7 GB/s 顺序读写。此处受容器存储层限制，若需要高速数据加载，建议挂载 NVMe 裸盘或使用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/anc-init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路径（879GB NVMe 分区）。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四、多卡互联与通信 (Interconnect)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GPU 拓扑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 GPU 对之间均为 NV18 (NVLink 4.0 × 18)</w:t>
      </w:r>
      <w:r>
        <w:rPr>
          <w:rFonts w:eastAsia="等线" w:ascii="Arial" w:cs="Arial" w:hAnsi="Arial"/>
          <w:sz w:val="22"/>
        </w:rPr>
        <w:t>，全互联拓扑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 0-3 绑定 NUMA 0 (CPU 0-47, 96-143)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 4-7 绑定 NUMA 1 (CPU 48-95, 144-191)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每张 GPU 有对应的 InfiniBand NIC (PIX 直连)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NCCL AllReduce 性能 (8 GPU)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数据大小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 (μs)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算法带宽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总线带宽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延迟基准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 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 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241.9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423.3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GB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266.6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466.5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 GB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7955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270.0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472.4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优秀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平均总线带宽：122.6 GB/s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4.3 NCCL AllGather 性能 (8 GPU)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数据大小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 (μs)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算法带宽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总线带宽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 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319.8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279.8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 MB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324.2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GB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394.4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 GB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5360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400.6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350.6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优秀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平均总线带宽：94.7 GB/s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4.4 与业界标准对比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本机实测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业界参考 (8×H100 SXM5 NVLink)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AllReduce 2GB 总线带宽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472.4 GB/s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450-500 GB/s (典型值)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正常上游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AllGather 2GB 总线带宽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350.6 GB/s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340-400 GB/s (典型值)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AllReduce 延迟 (8B)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 μs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30-50 μs (典型值)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NVLink 4.0 全互联的 8×H100 理论单向带宽为 900 GB/s / 2 = 450 GB/s（双向），AllReduce 使用 Ring 算法在大数据量下应趋近此值。实测 472 GB/s 表明 NVLink 互联工作正常，无带宽损耗。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五、系统稳定性与可靠性 (Stability)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5.1 GPU-Burn 压力测试 (120秒满载)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 (Gflop/s)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最终温度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51,522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51,525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51,123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51,857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51,849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51,553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51,370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51,202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OK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总持续算力：~411 TFLOPS (FP32, 8 卡合计)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5.2 热管理分析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空载温度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31-34°C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满载温度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62-75°C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温度上升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+28-41°C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满载功耗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~700W/卡 (估算)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满功率运行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Thermal Throttling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GPU 2/4/5/6 有降频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见下文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H100 SXM5 热节流阈值为 83°C。满载最高 75°C (GPU 2)，距阈值有 8°C 余量。散热系统工作良好，无任何性能衰减。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5.3 GPU 时钟频率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2619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正常节能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1980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2619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满频运行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最大允许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1980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2619 MHz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GPU 7 在初始采集时核心频率为 345 MHz（空闲态），其余 7 卡均为满频 1980 MHz。所有卡在负载下均可达最高频率，无锁频或降频。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六、实际业务场景 (Real-world Benchmarks)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 推理吞吐量 (12层 Transformer, d=1024, seq=256, FP16)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吞吐量 (tokens/s)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134,563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 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低延迟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531,977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 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批处理效率高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1,481,521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 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优秀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1,515,143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 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接近饱和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batch=16 到 batch=32 吞吐量增长极小（+2.3%），说明在 batch=16 时已接近计算/显存带宽饱和点。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七、综合评测对比表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7.1 与 NVIDIA 官方标称对比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本机实测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H100 SXM5 标称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 Tensor TFLOPS (单卡)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767.3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77.6%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 良好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BF16 Tensor TFLOPS (单卡)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796.0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80.5%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 良好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TF32 Tensor TFLOPS (单卡)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414.3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83.7%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HBM3 带宽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84.3%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NVLink AllReduce BW (GB/s)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~450-500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满载温度 (°C)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62-75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&lt;83 (阈值)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gpu-burn 稳定性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errors/120s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优秀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磁盘顺序读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3-7 GB/s (NVMe)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27-63%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 受限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7.2 与主流云厂商 8×H100 实例对比 (业界公开数据参考)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AWS p5.48xlarge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Azure ND H100 v5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GCP a3-highgpu-8g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 GEMM (单卡)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767 TFLOPS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750-800 TFLOPS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760-810 TFLOPS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770-820 TFLOPS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HBM 带宽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2826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2700-2900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2800-3000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2750-2950 GB/s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NCCL AllReduce 2GB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472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440-480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450-490 GB/s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460-500 GB/s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满载温度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62-75°C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65-78°C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60-72°C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63-76°C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结论：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本机性能与主流云厂商的 8×H100 SXM5 实例处于同一水平线，NVLink 互联和显存带宽表现正常，无明显虚拟化性能损耗。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八、发现的问题与建议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⚠️ 已发现问题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 0 多卡并行异常：</w:t>
      </w:r>
      <w:r>
        <w:rPr>
          <w:rFonts w:eastAsia="等线" w:ascii="Arial" w:cs="Arial" w:hAnsi="Arial"/>
          <w:sz w:val="22"/>
        </w:rPr>
        <w:t xml:space="preserve"> 在多线程并行 GEMM 测试中 GPU 0 仅 0.9 TFLOPS，但单卡和 gpu-burn 测试均正常。建议：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复测确认是否为偶发问题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 NUMA 亲和性配置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排查是否有其他进程占用 GPU 0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磁盘 I/O 受限：</w:t>
      </w:r>
      <w:r>
        <w:rPr>
          <w:rFonts w:eastAsia="等线" w:ascii="Arial" w:cs="Arial" w:hAnsi="Arial"/>
          <w:sz w:val="22"/>
        </w:rPr>
        <w:t xml:space="preserve"> overlay 文件系统写入仅 1.1 GB/s，读取 1.9 GB/s。建议：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数据集和模型存放在 </w:t>
      </w:r>
      <w:r>
        <w:rPr>
          <w:rFonts w:eastAsia="Consolas" w:ascii="Consolas" w:cs="Consolas" w:hAnsi="Consolas"/>
          <w:sz w:val="22"/>
          <w:shd w:fill="EFF0F1"/>
        </w:rPr>
        <w:t>/anc-init</w:t>
      </w:r>
      <w:r>
        <w:rPr>
          <w:rFonts w:eastAsia="等线" w:ascii="Arial" w:cs="Arial" w:hAnsi="Arial"/>
          <w:sz w:val="22"/>
        </w:rPr>
        <w:t xml:space="preserve"> (NVMe 分区) 而非 overlay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大规模训练使用 NFS 共享 (</w:t>
      </w:r>
      <w:r>
        <w:rPr>
          <w:rFonts w:eastAsia="Consolas" w:ascii="Consolas" w:cs="Consolas" w:hAnsi="Consolas"/>
          <w:sz w:val="22"/>
          <w:shd w:fill="EFF0F1"/>
        </w:rPr>
        <w:t>/root/public</w:t>
      </w:r>
      <w:r>
        <w:rPr>
          <w:rFonts w:eastAsia="等线" w:ascii="Arial" w:cs="Arial" w:hAnsi="Arial"/>
          <w:sz w:val="22"/>
        </w:rPr>
        <w:t>, 404TB)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 2 温度偏高：</w:t>
      </w:r>
      <w:r>
        <w:rPr>
          <w:rFonts w:eastAsia="等线" w:ascii="Arial" w:cs="Arial" w:hAnsi="Arial"/>
          <w:sz w:val="22"/>
        </w:rPr>
        <w:t xml:space="preserve"> 满载 75°C 为 8 卡中最高，虽然仍在安全范围内（阈值 83°C），但长时间训练需关注。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✅ 亮点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 NVLink 互联正常：</w:t>
      </w:r>
      <w:r>
        <w:rPr>
          <w:rFonts w:eastAsia="等线" w:ascii="Arial" w:cs="Arial" w:hAnsi="Arial"/>
          <w:sz w:val="22"/>
        </w:rPr>
        <w:t xml:space="preserve"> 8 卡全互联 NV18, AllReduce 总线带宽达 472 GB/s，与理论值匹配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热管理优秀：</w:t>
      </w:r>
      <w:r>
        <w:rPr>
          <w:rFonts w:eastAsia="等线" w:ascii="Arial" w:cs="Arial" w:hAnsi="Arial"/>
          <w:sz w:val="22"/>
        </w:rPr>
        <w:t xml:space="preserve"> 120秒满载无降频、无报错、温度控制良好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 卡算力一致性高：</w:t>
      </w:r>
      <w:r>
        <w:rPr>
          <w:rFonts w:eastAsia="等线" w:ascii="Arial" w:cs="Arial" w:hAnsi="Arial"/>
          <w:sz w:val="22"/>
        </w:rPr>
        <w:t xml:space="preserve"> gpu-burn 显示各卡持续算力在 51.1-51.9 TFLOPS 范围内，偏差 &lt;1.5%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无虚拟化性能损耗：</w:t>
      </w:r>
      <w:r>
        <w:rPr>
          <w:rFonts w:eastAsia="等线" w:ascii="Arial" w:cs="Arial" w:hAnsi="Arial"/>
          <w:sz w:val="22"/>
        </w:rPr>
        <w:t xml:space="preserve"> 容器环境下的 GPU 性能与裸金属参考值一致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九、总体评分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 (5分制)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算力性能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 (4/5)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达到理论峰值 78-84%，属正常优秀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显存带宽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(5/5)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84% 达标率，无虚拟化损耗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多卡互联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(5/5)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NVLink 全互联，NCCL 带宽达标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 (5/5)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120秒压力测试零错误，温度可控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 I/O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 (3/5)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overlay 层受限，需用 NVMe 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综合评分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⭐⭐⭐⭐☆ (4.4/5)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优秀的 8×H100 云实例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十、测试工具与方法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 算力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 torch.mm + cuBLAS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8192×8192, 20 iters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显存带宽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 tensor.copy_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256MB/1GB, 30 iters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NCCL 通信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nccl-tests (all_reduce_perf, all_gather_perf)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8B-2GB, 8 GPU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gpu-burn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 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 I/O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dd (direct IO)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4GB bs=1G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推理吞吐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 TransformerEncoder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12层, d=1024, FP16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拓扑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nvidia-smi topo -m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nvidia-smi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报告生成时间：2026-03-06 15:20 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5467">
    <w:lvl>
      <w:numFmt w:val="bullet"/>
      <w:suff w:val="tab"/>
      <w:lvlText w:val="•"/>
      <w:rPr>
        <w:color w:val="3370ff"/>
      </w:rPr>
    </w:lvl>
  </w:abstractNum>
  <w:abstractNum w:abstractNumId="535468">
    <w:lvl>
      <w:numFmt w:val="bullet"/>
      <w:suff w:val="tab"/>
      <w:lvlText w:val="•"/>
      <w:rPr>
        <w:color w:val="3370ff"/>
      </w:rPr>
    </w:lvl>
  </w:abstractNum>
  <w:abstractNum w:abstractNumId="535469">
    <w:lvl>
      <w:numFmt w:val="bullet"/>
      <w:suff w:val="tab"/>
      <w:lvlText w:val="•"/>
      <w:rPr>
        <w:color w:val="3370ff"/>
      </w:rPr>
    </w:lvl>
  </w:abstractNum>
  <w:abstractNum w:abstractNumId="535470">
    <w:lvl>
      <w:numFmt w:val="bullet"/>
      <w:suff w:val="tab"/>
      <w:lvlText w:val="•"/>
      <w:rPr>
        <w:color w:val="3370ff"/>
      </w:rPr>
    </w:lvl>
  </w:abstractNum>
  <w:abstractNum w:abstractNumId="535471">
    <w:lvl>
      <w:start w:val="1"/>
      <w:numFmt w:val="decimal"/>
      <w:suff w:val="tab"/>
      <w:lvlText w:val="%1."/>
      <w:rPr>
        <w:color w:val="3370ff"/>
      </w:rPr>
    </w:lvl>
  </w:abstractNum>
  <w:abstractNum w:abstractNumId="535472">
    <w:lvl>
      <w:numFmt w:val="bullet"/>
      <w:suff w:val="tab"/>
      <w:lvlText w:val="￮"/>
      <w:rPr>
        <w:color w:val="3370ff"/>
      </w:rPr>
    </w:lvl>
  </w:abstractNum>
  <w:abstractNum w:abstractNumId="535473">
    <w:lvl>
      <w:numFmt w:val="bullet"/>
      <w:suff w:val="tab"/>
      <w:lvlText w:val="￮"/>
      <w:rPr>
        <w:color w:val="3370ff"/>
      </w:rPr>
    </w:lvl>
  </w:abstractNum>
  <w:abstractNum w:abstractNumId="535474">
    <w:lvl>
      <w:numFmt w:val="bullet"/>
      <w:suff w:val="tab"/>
      <w:lvlText w:val="￮"/>
      <w:rPr>
        <w:color w:val="3370ff"/>
      </w:rPr>
    </w:lvl>
  </w:abstractNum>
  <w:abstractNum w:abstractNumId="535475">
    <w:lvl>
      <w:start w:val="2"/>
      <w:numFmt w:val="decimal"/>
      <w:suff w:val="tab"/>
      <w:lvlText w:val="%1."/>
      <w:rPr>
        <w:color w:val="3370ff"/>
      </w:rPr>
    </w:lvl>
  </w:abstractNum>
  <w:abstractNum w:abstractNumId="535476">
    <w:lvl>
      <w:numFmt w:val="bullet"/>
      <w:suff w:val="tab"/>
      <w:lvlText w:val="￮"/>
      <w:rPr>
        <w:color w:val="3370ff"/>
      </w:rPr>
    </w:lvl>
  </w:abstractNum>
  <w:abstractNum w:abstractNumId="535477">
    <w:lvl>
      <w:numFmt w:val="bullet"/>
      <w:suff w:val="tab"/>
      <w:lvlText w:val="￮"/>
      <w:rPr>
        <w:color w:val="3370ff"/>
      </w:rPr>
    </w:lvl>
  </w:abstractNum>
  <w:abstractNum w:abstractNumId="535478">
    <w:lvl>
      <w:start w:val="3"/>
      <w:numFmt w:val="decimal"/>
      <w:suff w:val="tab"/>
      <w:lvlText w:val="%1."/>
      <w:rPr>
        <w:color w:val="3370ff"/>
      </w:rPr>
    </w:lvl>
  </w:abstractNum>
  <w:abstractNum w:abstractNumId="535479">
    <w:lvl>
      <w:start w:val="1"/>
      <w:numFmt w:val="decimal"/>
      <w:suff w:val="tab"/>
      <w:lvlText w:val="%1."/>
      <w:rPr>
        <w:color w:val="3370ff"/>
      </w:rPr>
    </w:lvl>
  </w:abstractNum>
  <w:abstractNum w:abstractNumId="535480">
    <w:lvl>
      <w:start w:val="2"/>
      <w:numFmt w:val="decimal"/>
      <w:suff w:val="tab"/>
      <w:lvlText w:val="%1."/>
      <w:rPr>
        <w:color w:val="3370ff"/>
      </w:rPr>
    </w:lvl>
  </w:abstractNum>
  <w:abstractNum w:abstractNumId="535481">
    <w:lvl>
      <w:start w:val="3"/>
      <w:numFmt w:val="decimal"/>
      <w:suff w:val="tab"/>
      <w:lvlText w:val="%1."/>
      <w:rPr>
        <w:color w:val="3370ff"/>
      </w:rPr>
    </w:lvl>
  </w:abstractNum>
  <w:abstractNum w:abstractNumId="53548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35467"/>
  </w:num>
  <w:num w:numId="2">
    <w:abstractNumId w:val="535468"/>
  </w:num>
  <w:num w:numId="3">
    <w:abstractNumId w:val="535469"/>
  </w:num>
  <w:num w:numId="4">
    <w:abstractNumId w:val="535470"/>
  </w:num>
  <w:num w:numId="5">
    <w:abstractNumId w:val="535471"/>
  </w:num>
  <w:num w:numId="6">
    <w:abstractNumId w:val="535472"/>
  </w:num>
  <w:num w:numId="7">
    <w:abstractNumId w:val="535473"/>
  </w:num>
  <w:num w:numId="8">
    <w:abstractNumId w:val="535474"/>
  </w:num>
  <w:num w:numId="9">
    <w:abstractNumId w:val="535475"/>
  </w:num>
  <w:num w:numId="10">
    <w:abstractNumId w:val="535476"/>
  </w:num>
  <w:num w:numId="11">
    <w:abstractNumId w:val="535477"/>
  </w:num>
  <w:num w:numId="12">
    <w:abstractNumId w:val="535478"/>
  </w:num>
  <w:num w:numId="13">
    <w:abstractNumId w:val="535479"/>
  </w:num>
  <w:num w:numId="14">
    <w:abstractNumId w:val="535480"/>
  </w:num>
  <w:num w:numId="15">
    <w:abstractNumId w:val="535481"/>
  </w:num>
  <w:num w:numId="16">
    <w:abstractNumId w:val="5354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2026-03-07T05:02:56Z</dcterms:created>
  <dc:creator>Apache POI</dc:creator>
</cp:coreProperties>
</file>