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71288">
      <w:pPr>
        <w:pStyle w:val="2"/>
        <w:rPr>
          <w:rFonts w:eastAsia="黑体"/>
          <w:bCs/>
          <w:szCs w:val="21"/>
        </w:rPr>
      </w:pPr>
    </w:p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1295"/>
        <w:gridCol w:w="6329"/>
      </w:tblGrid>
      <w:tr w14:paraId="3F58EB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F2F2F2"/>
            <w:noWrap/>
            <w:vAlign w:val="center"/>
          </w:tcPr>
          <w:p w14:paraId="0ABAA582">
            <w:pPr>
              <w:spacing w:line="360" w:lineRule="auto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295" w:type="dxa"/>
            <w:shd w:val="clear" w:color="auto" w:fill="F2F2F2"/>
            <w:vAlign w:val="center"/>
          </w:tcPr>
          <w:p w14:paraId="6DF019F5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6329" w:type="dxa"/>
            <w:shd w:val="clear" w:color="auto" w:fill="F2F2F2"/>
            <w:vAlign w:val="center"/>
          </w:tcPr>
          <w:p w14:paraId="0B5B9B3B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技术规格要求</w:t>
            </w:r>
          </w:p>
        </w:tc>
      </w:tr>
      <w:tr w14:paraId="293BC0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017087F5">
            <w:pPr>
              <w:jc w:val="center"/>
            </w:pPr>
            <w:r>
              <w:t>1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5DD37272">
            <w:pPr>
              <w:jc w:val="center"/>
            </w:pPr>
            <w:r>
              <w:t>总体要求</w:t>
            </w:r>
          </w:p>
        </w:tc>
        <w:tc>
          <w:tcPr>
            <w:tcW w:w="6329" w:type="dxa"/>
            <w:shd w:val="clear" w:color="auto" w:fill="auto"/>
            <w:vAlign w:val="center"/>
          </w:tcPr>
          <w:p w14:paraId="31DFFAA7">
            <w:r>
              <w:rPr>
                <w:rFonts w:hint="eastAsia"/>
                <w:szCs w:val="28"/>
              </w:rPr>
              <w:t>对</w:t>
            </w:r>
            <w:r>
              <w:rPr>
                <w:szCs w:val="28"/>
              </w:rPr>
              <w:t>设备</w:t>
            </w:r>
            <w:r>
              <w:rPr>
                <w:rFonts w:hint="eastAsia"/>
                <w:szCs w:val="28"/>
              </w:rPr>
              <w:t>进行</w:t>
            </w:r>
            <w:r>
              <w:rPr>
                <w:szCs w:val="28"/>
              </w:rPr>
              <w:t>运行</w:t>
            </w:r>
            <w:r>
              <w:rPr>
                <w:rFonts w:hint="eastAsia"/>
                <w:szCs w:val="28"/>
              </w:rPr>
              <w:t>监控，支撑通用智能</w:t>
            </w:r>
            <w:r>
              <w:rPr>
                <w:szCs w:val="28"/>
              </w:rPr>
              <w:t>处理</w:t>
            </w:r>
            <w:r>
              <w:rPr>
                <w:rFonts w:hint="eastAsia"/>
                <w:szCs w:val="28"/>
              </w:rPr>
              <w:t>模型运行。</w:t>
            </w:r>
          </w:p>
        </w:tc>
      </w:tr>
      <w:tr w14:paraId="2BD794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02D9E5C3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00E7B6BD">
            <w:pPr>
              <w:spacing w:line="360" w:lineRule="auto"/>
              <w:jc w:val="center"/>
            </w:pPr>
            <w:r>
              <w:t>基本要求</w:t>
            </w:r>
          </w:p>
        </w:tc>
        <w:tc>
          <w:tcPr>
            <w:tcW w:w="6329" w:type="dxa"/>
            <w:shd w:val="clear" w:color="auto" w:fill="auto"/>
            <w:vAlign w:val="center"/>
          </w:tcPr>
          <w:p w14:paraId="77096CFF">
            <w:pPr>
              <w:overflowPunct w:val="0"/>
              <w:adjustRightInd w:val="0"/>
              <w:snapToGrid w:val="0"/>
              <w:jc w:val="left"/>
            </w:pPr>
            <w:r>
              <w:rPr>
                <w:rFonts w:hint="eastAsia"/>
                <w:szCs w:val="28"/>
              </w:rPr>
              <w:t>应</w:t>
            </w:r>
            <w:r>
              <w:rPr>
                <w:szCs w:val="28"/>
              </w:rPr>
              <w:t>包括基础操作系统、基础编译系统和基础库，负责管理各种硬件资源及单节点内的资源调度及分配</w:t>
            </w:r>
            <w:r>
              <w:rPr>
                <w:rFonts w:hint="eastAsia"/>
                <w:szCs w:val="28"/>
              </w:rPr>
              <w:t>。</w:t>
            </w:r>
          </w:p>
        </w:tc>
      </w:tr>
      <w:tr w14:paraId="4CE105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4B2EC210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262736F2">
            <w:pPr>
              <w:spacing w:line="360" w:lineRule="auto"/>
              <w:jc w:val="center"/>
            </w:pPr>
            <w:r>
              <w:t>功能要求</w:t>
            </w:r>
          </w:p>
        </w:tc>
        <w:tc>
          <w:tcPr>
            <w:tcW w:w="6329" w:type="dxa"/>
            <w:shd w:val="clear" w:color="auto" w:fill="auto"/>
            <w:vAlign w:val="center"/>
          </w:tcPr>
          <w:p w14:paraId="14266912">
            <w:pPr>
              <w:overflowPunct w:val="0"/>
              <w:adjustRightInd w:val="0"/>
              <w:snapToGrid w:val="0"/>
              <w:jc w:val="left"/>
            </w:pPr>
            <w:r>
              <w:t>资源管理软件包括系统管理、存储管理、作业管理、用户管理、记账管理等功能，能够确保系统安全、稳定、高效运行，为不同计算资源、不同用户、不同应用提供统一的管理手段，是系统管理员管好系统的入口。</w:t>
            </w:r>
          </w:p>
          <w:p w14:paraId="21728642">
            <w:pPr>
              <w:overflowPunct w:val="0"/>
              <w:adjustRightInd w:val="0"/>
              <w:snapToGrid w:val="0"/>
              <w:jc w:val="left"/>
            </w:pPr>
            <w:r>
              <w:rPr>
                <w:rFonts w:hint="eastAsia"/>
              </w:rPr>
              <w:t>编程环境包括编程语言、库、运行时以及调试与性能分析等功能模块。支持C/C++/Fortran编译系统（支持Gcc5以上）、Java编译器、Python语言（3.8以上）、国产处理器基础函数库。</w:t>
            </w:r>
          </w:p>
          <w:p w14:paraId="3BD84F78">
            <w:pPr>
              <w:overflowPunct w:val="0"/>
              <w:adjustRightInd w:val="0"/>
              <w:snapToGrid w:val="0"/>
              <w:jc w:val="left"/>
              <w:rPr>
                <w:szCs w:val="28"/>
              </w:rPr>
            </w:pPr>
            <w:r>
              <w:rPr>
                <w:rFonts w:hint="eastAsia"/>
                <w:szCs w:val="28"/>
              </w:rPr>
              <w:t>包括图形图像大数据支撑环境、人工智能支撑环境、并行编程框架、应用平台基础框架等。</w:t>
            </w:r>
          </w:p>
          <w:p w14:paraId="581E7098">
            <w:pPr>
              <w:overflowPunct w:val="0"/>
              <w:adjustRightInd w:val="0"/>
              <w:snapToGrid w:val="0"/>
              <w:jc w:val="left"/>
            </w:pPr>
            <w:r>
              <w:rPr>
                <w:rFonts w:hint="eastAsia"/>
                <w:szCs w:val="28"/>
              </w:rPr>
              <w:t>系统提供裸机容器、虚拟机容器、容器集群生命周期、容器应用生命周期管理、容器镜像仓、容器运维监控</w:t>
            </w:r>
            <w:r>
              <w:t>。</w:t>
            </w:r>
          </w:p>
        </w:tc>
      </w:tr>
    </w:tbl>
    <w:p w14:paraId="39F92757"/>
    <w:p w14:paraId="1BC38E38">
      <w:pPr>
        <w:pStyle w:val="12"/>
        <w:ind w:firstLine="560"/>
      </w:pPr>
      <w:r>
        <w:rPr>
          <w:rFonts w:hint="eastAsia"/>
          <w:szCs w:val="28"/>
        </w:rPr>
        <w:t>支持MLP、CNN、RNN、Transformer等典型网络模型训练，支持卷积、池化、激活层、批处理、深度可分离卷积、可形变卷积、正则化（BN、GN）、fold、unfold等算子的深度优化</w:t>
      </w:r>
      <w:r>
        <w:rPr>
          <w:rFonts w:hint="eastAsia"/>
        </w:rPr>
        <w:t>，支持外部算法模型集成，</w:t>
      </w:r>
      <w:r>
        <w:rPr>
          <w:rFonts w:hint="eastAsia"/>
          <w:szCs w:val="28"/>
        </w:rPr>
        <w:t>提供了包括MMDetection、MMCLS、MMCV、MMSegmentation、Opencv、Timm、Numpy、PIL、Xml2dict、Shapefile、Gdal、Apex、Pytest、Inplace_abn、matplotlib、onnx、albumentations、Multiprocessing、Thread、Horovod、pyyaml、scipy、Termcolor、yacs等依赖包支持</w:t>
      </w:r>
      <w:r>
        <w:rPr>
          <w:rFonts w:hint="eastAsia"/>
        </w:rPr>
        <w:t>实现</w:t>
      </w:r>
      <w:r>
        <w:rPr>
          <w:rFonts w:hint="eastAsia"/>
          <w:lang w:val="en-US" w:eastAsia="zh-CN"/>
        </w:rPr>
        <w:t>的</w:t>
      </w:r>
      <w:bookmarkStart w:id="0" w:name="_GoBack"/>
      <w:bookmarkEnd w:id="0"/>
      <w:r>
        <w:rPr>
          <w:rFonts w:hint="eastAsia"/>
        </w:rPr>
        <w:t>一站式服务能力。</w:t>
      </w:r>
    </w:p>
    <w:p w14:paraId="5E018F2E">
      <w:pPr>
        <w:pStyle w:val="2"/>
        <w:ind w:firstLine="480" w:firstLineChars="200"/>
        <w:rPr>
          <w:sz w:val="24"/>
        </w:rPr>
      </w:pPr>
    </w:p>
    <w:p w14:paraId="1B70BB32">
      <w:pPr>
        <w:pStyle w:val="2"/>
        <w:ind w:firstLine="480" w:firstLineChars="200"/>
        <w:rPr>
          <w:sz w:val="24"/>
        </w:rPr>
      </w:pPr>
      <w:r>
        <w:rPr>
          <w:sz w:val="24"/>
        </w:rPr>
        <w:t>基础软件包括基础操作系统、基础编译系统和基础库，负责管理各种硬件资源及单节点内的资源调度及分配。</w:t>
      </w:r>
    </w:p>
    <w:p w14:paraId="30986598">
      <w:pPr>
        <w:pStyle w:val="2"/>
        <w:ind w:firstLine="480" w:firstLineChars="200"/>
        <w:rPr>
          <w:sz w:val="24"/>
        </w:rPr>
      </w:pPr>
      <w:r>
        <w:rPr>
          <w:sz w:val="24"/>
        </w:rPr>
        <w:t>本项目</w:t>
      </w:r>
      <w:r>
        <w:rPr>
          <w:rFonts w:hint="eastAsia"/>
          <w:sz w:val="24"/>
        </w:rPr>
        <w:t>选用麒麟操作系统为</w:t>
      </w:r>
      <w:r>
        <w:rPr>
          <w:sz w:val="24"/>
        </w:rPr>
        <w:t>基础操作系统。</w:t>
      </w:r>
    </w:p>
    <w:p w14:paraId="7CEDB296">
      <w:pPr>
        <w:pStyle w:val="2"/>
        <w:ind w:firstLine="480" w:firstLineChars="200"/>
        <w:rPr>
          <w:sz w:val="24"/>
        </w:rPr>
      </w:pPr>
      <w:r>
        <w:rPr>
          <w:sz w:val="24"/>
        </w:rPr>
        <w:t>本项目</w:t>
      </w:r>
      <w:r>
        <w:rPr>
          <w:rFonts w:hint="eastAsia"/>
          <w:sz w:val="24"/>
        </w:rPr>
        <w:t>实现智能超算系统中的</w:t>
      </w:r>
      <w:r>
        <w:rPr>
          <w:sz w:val="24"/>
        </w:rPr>
        <w:t>基础编译系统、基础库</w:t>
      </w:r>
      <w:r>
        <w:rPr>
          <w:rFonts w:hint="eastAsia"/>
          <w:sz w:val="24"/>
        </w:rPr>
        <w:t>以及编程环境等系统相关功能具体如下：</w:t>
      </w:r>
    </w:p>
    <w:p w14:paraId="320857A2">
      <w:pPr>
        <w:spacing w:line="240" w:lineRule="exact"/>
        <w:ind w:firstLine="480" w:firstLineChars="200"/>
      </w:pPr>
      <w:r>
        <w:rPr>
          <w:rFonts w:hint="eastAsia"/>
          <w:sz w:val="24"/>
          <w:highlight w:val="yellow"/>
        </w:rPr>
        <w:t>基础编译系统：</w:t>
      </w:r>
      <w:r>
        <w:rPr>
          <w:sz w:val="24"/>
        </w:rPr>
        <w:t>cmake, ninja，</w:t>
      </w:r>
      <w:r>
        <w:rPr>
          <w:rFonts w:hint="eastAsia"/>
          <w:sz w:val="24"/>
        </w:rPr>
        <w:t>s</w:t>
      </w:r>
      <w:r>
        <w:rPr>
          <w:sz w:val="24"/>
        </w:rPr>
        <w:t>etuptools, GCC+, CANN(</w:t>
      </w:r>
      <w:r>
        <w:rPr>
          <w:rFonts w:hint="eastAsia"/>
        </w:rPr>
        <w:t>Compute Architecture for Neural</w:t>
      </w:r>
      <w:r>
        <w:t xml:space="preserve"> Networks</w:t>
      </w:r>
      <w:r>
        <w:rPr>
          <w:sz w:val="24"/>
        </w:rPr>
        <w:t xml:space="preserve">) </w:t>
      </w:r>
      <w:r>
        <w:rPr>
          <w:rFonts w:hint="eastAsia"/>
          <w:sz w:val="24"/>
        </w:rPr>
        <w:t>包含配套工具链。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5540"/>
        <w:gridCol w:w="1472"/>
      </w:tblGrid>
      <w:tr w14:paraId="2D549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</w:tcPr>
          <w:p w14:paraId="1058F890">
            <w:pPr>
              <w:spacing w:line="240" w:lineRule="exact"/>
            </w:pPr>
            <w:r>
              <w:rPr>
                <w:rFonts w:hint="eastAsia"/>
              </w:rPr>
              <w:t>名称</w:t>
            </w:r>
          </w:p>
        </w:tc>
        <w:tc>
          <w:tcPr>
            <w:tcW w:w="5540" w:type="dxa"/>
          </w:tcPr>
          <w:p w14:paraId="3E07115F">
            <w:pPr>
              <w:spacing w:line="240" w:lineRule="exact"/>
            </w:pPr>
            <w:r>
              <w:rPr>
                <w:rFonts w:hint="eastAsia"/>
              </w:rPr>
              <w:t>功能</w:t>
            </w:r>
          </w:p>
        </w:tc>
        <w:tc>
          <w:tcPr>
            <w:tcW w:w="1472" w:type="dxa"/>
          </w:tcPr>
          <w:p w14:paraId="18621F0A">
            <w:pPr>
              <w:spacing w:line="240" w:lineRule="exact"/>
            </w:pPr>
            <w:r>
              <w:rPr>
                <w:rFonts w:hint="eastAsia"/>
              </w:rPr>
              <w:t>备注</w:t>
            </w:r>
          </w:p>
        </w:tc>
      </w:tr>
      <w:tr w14:paraId="2BF08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</w:tcPr>
          <w:p w14:paraId="149F3DC9">
            <w:pPr>
              <w:spacing w:line="240" w:lineRule="exact"/>
            </w:pPr>
            <w:r>
              <w:rPr>
                <w:rFonts w:hint="eastAsia"/>
              </w:rPr>
              <w:t>n</w:t>
            </w:r>
            <w:r>
              <w:t>inja</w:t>
            </w:r>
          </w:p>
        </w:tc>
        <w:tc>
          <w:tcPr>
            <w:tcW w:w="5540" w:type="dxa"/>
          </w:tcPr>
          <w:p w14:paraId="36C52935">
            <w:pPr>
              <w:spacing w:line="240" w:lineRule="exact"/>
            </w:pPr>
            <w:r>
              <w:rPr>
                <w:rFonts w:hint="eastAsia"/>
              </w:rPr>
              <w:t>极速构建系统，以最高效率调度编译任务，加速 C++/CUDA 代码编译。</w:t>
            </w:r>
          </w:p>
        </w:tc>
        <w:tc>
          <w:tcPr>
            <w:tcW w:w="1472" w:type="dxa"/>
          </w:tcPr>
          <w:p w14:paraId="5BDE8D95">
            <w:pPr>
              <w:spacing w:line="240" w:lineRule="exact"/>
            </w:pPr>
            <w:r>
              <w:rPr>
                <w:rFonts w:hint="eastAsia"/>
              </w:rPr>
              <w:t>如mmcv编译时需要</w:t>
            </w:r>
          </w:p>
        </w:tc>
      </w:tr>
      <w:tr w14:paraId="34A7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</w:tcPr>
          <w:p w14:paraId="62AB0562">
            <w:pPr>
              <w:spacing w:line="240" w:lineRule="exact"/>
            </w:pPr>
            <w:r>
              <w:rPr>
                <w:rFonts w:hint="eastAsia"/>
              </w:rPr>
              <w:t>c</w:t>
            </w:r>
            <w:r>
              <w:t>make</w:t>
            </w:r>
          </w:p>
        </w:tc>
        <w:tc>
          <w:tcPr>
            <w:tcW w:w="5540" w:type="dxa"/>
          </w:tcPr>
          <w:p w14:paraId="19E264CA">
            <w:pPr>
              <w:spacing w:line="240" w:lineRule="exact"/>
            </w:pPr>
            <w:r>
              <w:rPr>
                <w:rFonts w:hint="eastAsia"/>
              </w:rPr>
              <w:t>跨平台的自动化构建系统生成器，管理 C++/CUDA 扩展的编译流程</w:t>
            </w:r>
          </w:p>
        </w:tc>
        <w:tc>
          <w:tcPr>
            <w:tcW w:w="1472" w:type="dxa"/>
          </w:tcPr>
          <w:p w14:paraId="20DF0727">
            <w:pPr>
              <w:spacing w:line="240" w:lineRule="exact"/>
            </w:pPr>
          </w:p>
        </w:tc>
      </w:tr>
      <w:tr w14:paraId="345FF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</w:tcPr>
          <w:p w14:paraId="0D6CF56E">
            <w:pPr>
              <w:spacing w:line="240" w:lineRule="exact"/>
            </w:pPr>
            <w:r>
              <w:rPr>
                <w:rFonts w:hint="eastAsia"/>
              </w:rPr>
              <w:t>s</w:t>
            </w:r>
            <w:r>
              <w:t>etuptools</w:t>
            </w:r>
          </w:p>
        </w:tc>
        <w:tc>
          <w:tcPr>
            <w:tcW w:w="5540" w:type="dxa"/>
          </w:tcPr>
          <w:p w14:paraId="3541872B">
            <w:pPr>
              <w:spacing w:line="240" w:lineRule="exact"/>
            </w:pPr>
            <w:r>
              <w:rPr>
                <w:rFonts w:hint="eastAsia"/>
              </w:rPr>
              <w:t>Python 打包与分发工具，用于构建、安装和管理 Python 包（常见于 setup.py）。</w:t>
            </w:r>
          </w:p>
        </w:tc>
        <w:tc>
          <w:tcPr>
            <w:tcW w:w="1472" w:type="dxa"/>
          </w:tcPr>
          <w:p w14:paraId="724B446E">
            <w:pPr>
              <w:spacing w:line="240" w:lineRule="exact"/>
            </w:pPr>
          </w:p>
        </w:tc>
      </w:tr>
      <w:tr w14:paraId="5EA66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</w:tcPr>
          <w:p w14:paraId="20C09A93">
            <w:pPr>
              <w:spacing w:line="240" w:lineRule="exact"/>
              <w:rPr>
                <w:rFonts w:hint="eastAsia"/>
              </w:rPr>
            </w:pPr>
            <w:r>
              <w:rPr>
                <w:sz w:val="24"/>
              </w:rPr>
              <w:t xml:space="preserve"> GCC+</w:t>
            </w:r>
          </w:p>
        </w:tc>
        <w:tc>
          <w:tcPr>
            <w:tcW w:w="5540" w:type="dxa"/>
          </w:tcPr>
          <w:p w14:paraId="35B9532B">
            <w:pPr>
              <w:spacing w:line="240" w:lineRule="exact"/>
              <w:rPr>
                <w:rFonts w:hint="eastAsia"/>
              </w:rPr>
            </w:pPr>
            <w:r>
              <w:rPr>
                <w:rFonts w:hint="default"/>
                <w:szCs w:val="28"/>
                <w:lang w:val="en-US" w:eastAsia="zh-CN"/>
              </w:rPr>
              <w:t>GNU C/C++ 编译器</w:t>
            </w:r>
          </w:p>
        </w:tc>
        <w:tc>
          <w:tcPr>
            <w:tcW w:w="1472" w:type="dxa"/>
          </w:tcPr>
          <w:p w14:paraId="5ADFE633">
            <w:pPr>
              <w:spacing w:line="240" w:lineRule="exact"/>
            </w:pPr>
          </w:p>
        </w:tc>
      </w:tr>
    </w:tbl>
    <w:p w14:paraId="7E85951D">
      <w:pPr>
        <w:pStyle w:val="2"/>
      </w:pPr>
    </w:p>
    <w:p w14:paraId="14670788">
      <w:pPr>
        <w:spacing w:line="240" w:lineRule="exact"/>
        <w:ind w:firstLine="480" w:firstLineChars="200"/>
        <w:rPr>
          <w:sz w:val="24"/>
        </w:rPr>
      </w:pPr>
      <w:r>
        <w:rPr>
          <w:rFonts w:hint="eastAsia"/>
          <w:sz w:val="24"/>
          <w:highlight w:val="yellow"/>
        </w:rPr>
        <w:t>基础库：</w:t>
      </w:r>
      <w:r>
        <w:rPr>
          <w:sz w:val="24"/>
        </w:rPr>
        <w:t>numpy，pyyaml，typing-extensions，future，six，requests，dataclasses，pillow，tqdm，pytz，loguru，easydict，tabulate，zipp，importlib，python_dateutil，ackaging，lazy-loader，psutil。</w:t>
      </w:r>
      <w:r>
        <w:rPr>
          <w:rFonts w:hint="eastAsia"/>
          <w:sz w:val="24"/>
        </w:rPr>
        <w:t>这些库是绝大多数深度学习项目都会用到的“基础依赖”，用于数据处理、文件读写、日志、时间等。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5317"/>
        <w:gridCol w:w="1284"/>
      </w:tblGrid>
      <w:tr w14:paraId="20616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70CB8754">
            <w:pPr>
              <w:spacing w:line="240" w:lineRule="exact"/>
            </w:pPr>
            <w:r>
              <w:rPr>
                <w:rFonts w:hint="eastAsia"/>
              </w:rPr>
              <w:t>名称</w:t>
            </w:r>
          </w:p>
        </w:tc>
        <w:tc>
          <w:tcPr>
            <w:tcW w:w="5317" w:type="dxa"/>
          </w:tcPr>
          <w:p w14:paraId="37343E7E">
            <w:pPr>
              <w:spacing w:line="240" w:lineRule="exact"/>
            </w:pPr>
            <w:r>
              <w:rPr>
                <w:rFonts w:hint="eastAsia"/>
              </w:rPr>
              <w:t>功能</w:t>
            </w:r>
          </w:p>
        </w:tc>
        <w:tc>
          <w:tcPr>
            <w:tcW w:w="1284" w:type="dxa"/>
          </w:tcPr>
          <w:p w14:paraId="3EF84E8E">
            <w:pPr>
              <w:spacing w:line="240" w:lineRule="exact"/>
            </w:pPr>
            <w:r>
              <w:rPr>
                <w:rFonts w:hint="eastAsia"/>
              </w:rPr>
              <w:t>版本</w:t>
            </w:r>
          </w:p>
        </w:tc>
      </w:tr>
      <w:tr w14:paraId="52BF9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0AB6BC43">
            <w:pPr>
              <w:spacing w:line="240" w:lineRule="exact"/>
            </w:pPr>
            <w:r>
              <w:t>numpy</w:t>
            </w:r>
          </w:p>
        </w:tc>
        <w:tc>
          <w:tcPr>
            <w:tcW w:w="5317" w:type="dxa"/>
          </w:tcPr>
          <w:p w14:paraId="7B8784FC">
            <w:pPr>
              <w:spacing w:line="240" w:lineRule="exact"/>
            </w:pPr>
            <w:r>
              <w:rPr>
                <w:rFonts w:hint="eastAsia"/>
              </w:rPr>
              <w:t>数组与矩阵运算，几乎所有科学计算的基石</w:t>
            </w:r>
          </w:p>
        </w:tc>
        <w:tc>
          <w:tcPr>
            <w:tcW w:w="1284" w:type="dxa"/>
          </w:tcPr>
          <w:p w14:paraId="0C03A4B0">
            <w:pPr>
              <w:spacing w:line="240" w:lineRule="exact"/>
            </w:pPr>
            <w:r>
              <w:rPr>
                <w:rFonts w:hint="eastAsia"/>
              </w:rPr>
              <w:t>1.23.x 或 1.24.0</w:t>
            </w:r>
          </w:p>
        </w:tc>
      </w:tr>
      <w:tr w14:paraId="1FA47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54FAE024">
            <w:pPr>
              <w:spacing w:line="240" w:lineRule="exact"/>
            </w:pPr>
            <w:r>
              <w:rPr>
                <w:rFonts w:hint="eastAsia"/>
              </w:rPr>
              <w:t>py</w:t>
            </w:r>
            <w:r>
              <w:t>yaml</w:t>
            </w:r>
          </w:p>
        </w:tc>
        <w:tc>
          <w:tcPr>
            <w:tcW w:w="5317" w:type="dxa"/>
          </w:tcPr>
          <w:p w14:paraId="38063811">
            <w:pPr>
              <w:spacing w:line="240" w:lineRule="exact"/>
            </w:pPr>
            <w:r>
              <w:rPr>
                <w:rFonts w:hint="eastAsia"/>
              </w:rPr>
              <w:t>YAML 解析器和生成器库，现代 AI 框架依赖的基础配置工具。</w:t>
            </w:r>
          </w:p>
        </w:tc>
        <w:tc>
          <w:tcPr>
            <w:tcW w:w="1284" w:type="dxa"/>
          </w:tcPr>
          <w:p w14:paraId="141ACA81">
            <w:pPr>
              <w:spacing w:line="240" w:lineRule="exact"/>
            </w:pPr>
            <w:r>
              <w:rPr>
                <w:rFonts w:hint="eastAsia"/>
              </w:rPr>
              <w:t>OpenMMLab大量使用</w:t>
            </w:r>
          </w:p>
        </w:tc>
      </w:tr>
      <w:tr w14:paraId="2FD15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15780CF6">
            <w:pPr>
              <w:spacing w:line="240" w:lineRule="exact"/>
            </w:pPr>
            <w:r>
              <w:t>typing-extensions</w:t>
            </w:r>
          </w:p>
        </w:tc>
        <w:tc>
          <w:tcPr>
            <w:tcW w:w="5317" w:type="dxa"/>
          </w:tcPr>
          <w:p w14:paraId="1812AA95">
            <w:pPr>
              <w:spacing w:line="240" w:lineRule="exact"/>
            </w:pPr>
            <w:r>
              <w:rPr>
                <w:rFonts w:hint="eastAsia"/>
              </w:rPr>
              <w:t>提供强大、现代的类型注解支持</w:t>
            </w:r>
          </w:p>
        </w:tc>
        <w:tc>
          <w:tcPr>
            <w:tcW w:w="1284" w:type="dxa"/>
          </w:tcPr>
          <w:p w14:paraId="44691E68">
            <w:pPr>
              <w:spacing w:line="240" w:lineRule="exact"/>
            </w:pPr>
          </w:p>
        </w:tc>
      </w:tr>
      <w:tr w14:paraId="3DF0D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29633F42">
            <w:pPr>
              <w:spacing w:line="240" w:lineRule="exact"/>
            </w:pPr>
            <w:r>
              <w:t>future</w:t>
            </w:r>
          </w:p>
        </w:tc>
        <w:tc>
          <w:tcPr>
            <w:tcW w:w="5317" w:type="dxa"/>
          </w:tcPr>
          <w:p w14:paraId="0DA09CBA">
            <w:pPr>
              <w:spacing w:line="240" w:lineRule="exact"/>
            </w:pPr>
            <w:r>
              <w:rPr>
                <w:rFonts w:hint="eastAsia"/>
              </w:rPr>
              <w:t>启用 Python 3 的新特性，从而让代码能同时在 Python 2 和 Python 3 中运行</w:t>
            </w:r>
          </w:p>
        </w:tc>
        <w:tc>
          <w:tcPr>
            <w:tcW w:w="1284" w:type="dxa"/>
          </w:tcPr>
          <w:p w14:paraId="44B947E5">
            <w:pPr>
              <w:spacing w:line="240" w:lineRule="exact"/>
            </w:pPr>
            <w:r>
              <w:rPr>
                <w:rFonts w:hint="eastAsia"/>
              </w:rPr>
              <w:t>老旧代码可能需要</w:t>
            </w:r>
          </w:p>
        </w:tc>
      </w:tr>
      <w:tr w14:paraId="2A024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51F8E333">
            <w:pPr>
              <w:spacing w:line="240" w:lineRule="exact"/>
            </w:pPr>
            <w:r>
              <w:rPr>
                <w:rFonts w:hint="eastAsia"/>
              </w:rPr>
              <w:t>six</w:t>
            </w:r>
          </w:p>
        </w:tc>
        <w:tc>
          <w:tcPr>
            <w:tcW w:w="5317" w:type="dxa"/>
          </w:tcPr>
          <w:p w14:paraId="6DB249AB">
            <w:pPr>
              <w:spacing w:line="240" w:lineRule="exact"/>
            </w:pPr>
            <w:r>
              <w:rPr>
                <w:rFonts w:hint="eastAsia"/>
              </w:rPr>
              <w:t>解决</w:t>
            </w:r>
            <w:r>
              <w:t xml:space="preserve"> Python 2 </w:t>
            </w:r>
            <w:r>
              <w:rPr>
                <w:rFonts w:hint="eastAsia"/>
              </w:rPr>
              <w:t>与</w:t>
            </w:r>
            <w:r>
              <w:t xml:space="preserve"> Python 3 </w:t>
            </w:r>
            <w:r>
              <w:rPr>
                <w:rFonts w:hint="eastAsia"/>
              </w:rPr>
              <w:t>兼容性差异的轻量级工具库</w:t>
            </w:r>
          </w:p>
        </w:tc>
        <w:tc>
          <w:tcPr>
            <w:tcW w:w="1284" w:type="dxa"/>
          </w:tcPr>
          <w:p w14:paraId="28020909">
            <w:pPr>
              <w:spacing w:line="240" w:lineRule="exact"/>
            </w:pPr>
          </w:p>
        </w:tc>
      </w:tr>
      <w:tr w14:paraId="02C5F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2E883CED">
            <w:pPr>
              <w:spacing w:line="240" w:lineRule="exact"/>
            </w:pPr>
            <w:r>
              <w:rPr>
                <w:rFonts w:hint="eastAsia"/>
              </w:rPr>
              <w:t>r</w:t>
            </w:r>
            <w:r>
              <w:t>equests</w:t>
            </w:r>
          </w:p>
        </w:tc>
        <w:tc>
          <w:tcPr>
            <w:tcW w:w="5317" w:type="dxa"/>
          </w:tcPr>
          <w:p w14:paraId="2AF7FCB9">
            <w:pPr>
              <w:spacing w:line="240" w:lineRule="exact"/>
            </w:pPr>
            <w:r>
              <w:rPr>
                <w:rFonts w:hint="eastAsia"/>
              </w:rPr>
              <w:t>发送 HTTP/HTTPS 请求，常用于下载数据、调用 REST API。</w:t>
            </w:r>
          </w:p>
        </w:tc>
        <w:tc>
          <w:tcPr>
            <w:tcW w:w="1284" w:type="dxa"/>
          </w:tcPr>
          <w:p w14:paraId="749CDAEE">
            <w:pPr>
              <w:spacing w:line="240" w:lineRule="exact"/>
            </w:pPr>
          </w:p>
        </w:tc>
      </w:tr>
      <w:tr w14:paraId="39BDC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5602F736">
            <w:pPr>
              <w:spacing w:line="240" w:lineRule="exact"/>
            </w:pPr>
            <w:r>
              <w:rPr>
                <w:rFonts w:hint="eastAsia"/>
              </w:rPr>
              <w:t>d</w:t>
            </w:r>
            <w:r>
              <w:t>ataclasses</w:t>
            </w:r>
          </w:p>
        </w:tc>
        <w:tc>
          <w:tcPr>
            <w:tcW w:w="5317" w:type="dxa"/>
          </w:tcPr>
          <w:p w14:paraId="5B71CCFB">
            <w:pPr>
              <w:spacing w:line="240" w:lineRule="exact"/>
            </w:pPr>
            <w:r>
              <w:rPr>
                <w:rFonts w:hint="eastAsia"/>
              </w:rPr>
              <w:t>（Python 标准库）提供dataclass装饰器，自动生成类的init__、__repr__等方法，简化数据结构定义。</w:t>
            </w:r>
          </w:p>
        </w:tc>
        <w:tc>
          <w:tcPr>
            <w:tcW w:w="1284" w:type="dxa"/>
          </w:tcPr>
          <w:p w14:paraId="74C4D2C5">
            <w:pPr>
              <w:spacing w:line="240" w:lineRule="exact"/>
            </w:pPr>
            <w:r>
              <w:t>Python3.6+</w:t>
            </w:r>
            <w:r>
              <w:rPr>
                <w:rFonts w:hint="eastAsia"/>
              </w:rPr>
              <w:t>数据类支持</w:t>
            </w:r>
          </w:p>
        </w:tc>
      </w:tr>
      <w:tr w14:paraId="16A60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7595BBB9">
            <w:pPr>
              <w:spacing w:line="240" w:lineRule="exact"/>
            </w:pPr>
            <w:r>
              <w:rPr>
                <w:rFonts w:hint="eastAsia"/>
              </w:rPr>
              <w:t>p</w:t>
            </w:r>
            <w:r>
              <w:t>illow</w:t>
            </w:r>
          </w:p>
        </w:tc>
        <w:tc>
          <w:tcPr>
            <w:tcW w:w="5317" w:type="dxa"/>
          </w:tcPr>
          <w:p w14:paraId="474620B5">
            <w:pPr>
              <w:spacing w:line="240" w:lineRule="exact"/>
            </w:pPr>
            <w:r>
              <w:rPr>
                <w:rFonts w:hint="eastAsia"/>
              </w:rPr>
              <w:t>图像处理库（PIL的分支），用于图像打开、裁剪、缩放、格式转换等基本操作。</w:t>
            </w:r>
          </w:p>
        </w:tc>
        <w:tc>
          <w:tcPr>
            <w:tcW w:w="1284" w:type="dxa"/>
          </w:tcPr>
          <w:p w14:paraId="0293372E">
            <w:pPr>
              <w:spacing w:line="240" w:lineRule="exact"/>
              <w:rPr>
                <w:highlight w:val="yellow"/>
              </w:rPr>
            </w:pPr>
          </w:p>
        </w:tc>
      </w:tr>
      <w:tr w14:paraId="3757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356C0CBC">
            <w:pPr>
              <w:spacing w:line="240" w:lineRule="exact"/>
            </w:pPr>
            <w:r>
              <w:rPr>
                <w:rFonts w:hint="eastAsia"/>
              </w:rPr>
              <w:t>t</w:t>
            </w:r>
            <w:r>
              <w:t>qdm</w:t>
            </w:r>
          </w:p>
        </w:tc>
        <w:tc>
          <w:tcPr>
            <w:tcW w:w="5317" w:type="dxa"/>
          </w:tcPr>
          <w:p w14:paraId="28CB97C2">
            <w:pPr>
              <w:spacing w:line="240" w:lineRule="exact"/>
            </w:pPr>
            <w:r>
              <w:rPr>
                <w:rFonts w:hint="eastAsia"/>
              </w:rPr>
              <w:t>快速生成进度条，用于显示循环、文件读写等操作的实时进度。</w:t>
            </w:r>
          </w:p>
        </w:tc>
        <w:tc>
          <w:tcPr>
            <w:tcW w:w="1284" w:type="dxa"/>
          </w:tcPr>
          <w:p w14:paraId="5D8E4CD6">
            <w:pPr>
              <w:spacing w:line="240" w:lineRule="exact"/>
              <w:rPr>
                <w:highlight w:val="yellow"/>
              </w:rPr>
            </w:pPr>
          </w:p>
        </w:tc>
      </w:tr>
      <w:tr w14:paraId="7DF93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1795B1B7">
            <w:pPr>
              <w:spacing w:line="240" w:lineRule="exact"/>
            </w:pPr>
            <w:r>
              <w:rPr>
                <w:rFonts w:hint="eastAsia"/>
              </w:rPr>
              <w:t>p</w:t>
            </w:r>
            <w:r>
              <w:t>ytz</w:t>
            </w:r>
          </w:p>
        </w:tc>
        <w:tc>
          <w:tcPr>
            <w:tcW w:w="5317" w:type="dxa"/>
          </w:tcPr>
          <w:p w14:paraId="749CCDBB">
            <w:pPr>
              <w:spacing w:line="240" w:lineRule="exact"/>
            </w:pPr>
            <w:r>
              <w:rPr>
                <w:rFonts w:hint="eastAsia"/>
              </w:rPr>
              <w:t>提供世界时区定义和转换功能，处理日期时间的时区问题。</w:t>
            </w:r>
          </w:p>
        </w:tc>
        <w:tc>
          <w:tcPr>
            <w:tcW w:w="1284" w:type="dxa"/>
          </w:tcPr>
          <w:p w14:paraId="431F0999">
            <w:pPr>
              <w:spacing w:line="240" w:lineRule="exact"/>
              <w:rPr>
                <w:highlight w:val="yellow"/>
              </w:rPr>
            </w:pPr>
          </w:p>
        </w:tc>
      </w:tr>
      <w:tr w14:paraId="69A32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09D9F6AE">
            <w:pPr>
              <w:spacing w:line="240" w:lineRule="exact"/>
            </w:pPr>
            <w:r>
              <w:rPr>
                <w:rFonts w:hint="eastAsia"/>
              </w:rPr>
              <w:t>l</w:t>
            </w:r>
            <w:r>
              <w:t>oguru</w:t>
            </w:r>
          </w:p>
        </w:tc>
        <w:tc>
          <w:tcPr>
            <w:tcW w:w="5317" w:type="dxa"/>
          </w:tcPr>
          <w:p w14:paraId="7A58EFF6">
            <w:pPr>
              <w:spacing w:line="240" w:lineRule="exact"/>
            </w:pPr>
            <w:r>
              <w:rPr>
                <w:rFonts w:hint="eastAsia"/>
              </w:rPr>
              <w:t>旨在简化日志记录的库，提供开箱即用的彩色日志、异常追溯等功能。</w:t>
            </w:r>
          </w:p>
        </w:tc>
        <w:tc>
          <w:tcPr>
            <w:tcW w:w="1284" w:type="dxa"/>
          </w:tcPr>
          <w:p w14:paraId="7D7A17E5">
            <w:pPr>
              <w:spacing w:line="240" w:lineRule="exact"/>
            </w:pPr>
          </w:p>
        </w:tc>
      </w:tr>
      <w:tr w14:paraId="0B416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3F326C7F">
            <w:pPr>
              <w:spacing w:line="240" w:lineRule="exact"/>
            </w:pPr>
            <w:r>
              <w:rPr>
                <w:rFonts w:hint="eastAsia"/>
              </w:rPr>
              <w:t>e</w:t>
            </w:r>
            <w:r>
              <w:t>asydict</w:t>
            </w:r>
          </w:p>
        </w:tc>
        <w:tc>
          <w:tcPr>
            <w:tcW w:w="5317" w:type="dxa"/>
          </w:tcPr>
          <w:p w14:paraId="72E67609">
            <w:pPr>
              <w:spacing w:line="240" w:lineRule="exact"/>
            </w:pPr>
            <w:r>
              <w:rPr>
                <w:rFonts w:hint="eastAsia"/>
              </w:rPr>
              <w:t>允许通过属性访问（.）方式访问字典键值，提高代码可读性。</w:t>
            </w:r>
          </w:p>
        </w:tc>
        <w:tc>
          <w:tcPr>
            <w:tcW w:w="1284" w:type="dxa"/>
          </w:tcPr>
          <w:p w14:paraId="523387E0">
            <w:pPr>
              <w:spacing w:line="240" w:lineRule="exact"/>
            </w:pPr>
          </w:p>
        </w:tc>
      </w:tr>
      <w:tr w14:paraId="011EA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14CCD625">
            <w:pPr>
              <w:spacing w:line="240" w:lineRule="exact"/>
            </w:pPr>
            <w:r>
              <w:rPr>
                <w:rFonts w:hint="eastAsia"/>
              </w:rPr>
              <w:t>t</w:t>
            </w:r>
            <w:r>
              <w:t>abulate</w:t>
            </w:r>
          </w:p>
        </w:tc>
        <w:tc>
          <w:tcPr>
            <w:tcW w:w="5317" w:type="dxa"/>
          </w:tcPr>
          <w:p w14:paraId="45CC38EA">
            <w:pPr>
              <w:spacing w:line="240" w:lineRule="exact"/>
            </w:pPr>
            <w:r>
              <w:rPr>
                <w:rFonts w:hint="eastAsia"/>
              </w:rPr>
              <w:t>将列表、字典等数据结构格式化为美观的 ASCII/Unicode 表格，用于终端输出。</w:t>
            </w:r>
          </w:p>
        </w:tc>
        <w:tc>
          <w:tcPr>
            <w:tcW w:w="1284" w:type="dxa"/>
          </w:tcPr>
          <w:p w14:paraId="73C5BE4B">
            <w:pPr>
              <w:spacing w:line="240" w:lineRule="exact"/>
            </w:pPr>
          </w:p>
        </w:tc>
      </w:tr>
      <w:tr w14:paraId="5894A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7BA81A3A">
            <w:pPr>
              <w:spacing w:line="240" w:lineRule="exact"/>
            </w:pPr>
            <w:r>
              <w:rPr>
                <w:rFonts w:hint="eastAsia"/>
              </w:rPr>
              <w:t>z</w:t>
            </w:r>
            <w:r>
              <w:t>ipp</w:t>
            </w:r>
          </w:p>
        </w:tc>
        <w:tc>
          <w:tcPr>
            <w:tcW w:w="5317" w:type="dxa"/>
          </w:tcPr>
          <w:p w14:paraId="10499894">
            <w:pPr>
              <w:spacing w:line="240" w:lineRule="exact"/>
            </w:pPr>
            <w:r>
              <w:rPr>
                <w:rFonts w:hint="eastAsia"/>
              </w:rPr>
              <w:t>用于处理 zip 文件的库，是 importlib_resources和 importlib_metadata的底层依赖。</w:t>
            </w:r>
          </w:p>
        </w:tc>
        <w:tc>
          <w:tcPr>
            <w:tcW w:w="1284" w:type="dxa"/>
          </w:tcPr>
          <w:p w14:paraId="032B73E0">
            <w:pPr>
              <w:spacing w:line="240" w:lineRule="exact"/>
            </w:pPr>
          </w:p>
        </w:tc>
      </w:tr>
      <w:tr w14:paraId="1C1DD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56C3BD8A">
            <w:pPr>
              <w:spacing w:line="240" w:lineRule="exact"/>
            </w:pPr>
            <w:r>
              <w:rPr>
                <w:rFonts w:hint="eastAsia"/>
              </w:rPr>
              <w:t>i</w:t>
            </w:r>
            <w:r>
              <w:t>mportlib</w:t>
            </w:r>
          </w:p>
        </w:tc>
        <w:tc>
          <w:tcPr>
            <w:tcW w:w="5317" w:type="dxa"/>
          </w:tcPr>
          <w:p w14:paraId="58DE98A6">
            <w:pPr>
              <w:spacing w:line="240" w:lineRule="exact"/>
            </w:pPr>
            <w:r>
              <w:rPr>
                <w:rFonts w:hint="eastAsia"/>
              </w:rPr>
              <w:t>（Python 标准库）提供与 Python 导入机制交互的接口，用于动态加载模块和读取包元数据。</w:t>
            </w:r>
          </w:p>
        </w:tc>
        <w:tc>
          <w:tcPr>
            <w:tcW w:w="1284" w:type="dxa"/>
          </w:tcPr>
          <w:p w14:paraId="541287B5">
            <w:pPr>
              <w:spacing w:line="240" w:lineRule="exact"/>
            </w:pPr>
          </w:p>
        </w:tc>
      </w:tr>
      <w:tr w14:paraId="648C9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5DFB5FE8">
            <w:pPr>
              <w:spacing w:line="240" w:lineRule="exact"/>
            </w:pPr>
            <w:r>
              <w:rPr>
                <w:rFonts w:hint="eastAsia"/>
              </w:rPr>
              <w:t>p</w:t>
            </w:r>
            <w:r>
              <w:t>ython_dateutil</w:t>
            </w:r>
          </w:p>
        </w:tc>
        <w:tc>
          <w:tcPr>
            <w:tcW w:w="5317" w:type="dxa"/>
          </w:tcPr>
          <w:p w14:paraId="7BA4B4B5">
            <w:pPr>
              <w:spacing w:line="240" w:lineRule="exact"/>
            </w:pPr>
            <w:r>
              <w:rPr>
                <w:rFonts w:hint="eastAsia"/>
              </w:rPr>
              <w:t>对 datetime模块的扩展，提供灵活的日期解析、相对时间和时区计算。</w:t>
            </w:r>
          </w:p>
        </w:tc>
        <w:tc>
          <w:tcPr>
            <w:tcW w:w="1284" w:type="dxa"/>
          </w:tcPr>
          <w:p w14:paraId="75CE959E">
            <w:pPr>
              <w:spacing w:line="240" w:lineRule="exact"/>
            </w:pPr>
          </w:p>
        </w:tc>
      </w:tr>
      <w:tr w14:paraId="34604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1900FD27">
            <w:pPr>
              <w:spacing w:line="240" w:lineRule="exact"/>
            </w:pPr>
            <w:r>
              <w:rPr>
                <w:rFonts w:hint="eastAsia"/>
              </w:rPr>
              <w:t>p</w:t>
            </w:r>
            <w:r>
              <w:t>ackaging</w:t>
            </w:r>
          </w:p>
        </w:tc>
        <w:tc>
          <w:tcPr>
            <w:tcW w:w="5317" w:type="dxa"/>
          </w:tcPr>
          <w:p w14:paraId="78DA0FC7">
            <w:pPr>
              <w:spacing w:line="240" w:lineRule="exact"/>
            </w:pPr>
            <w:r>
              <w:rPr>
                <w:rFonts w:hint="eastAsia"/>
              </w:rPr>
              <w:t>提供核心打包实用工具，用于解析版本号、依赖声明等 PEP 标准。</w:t>
            </w:r>
          </w:p>
        </w:tc>
        <w:tc>
          <w:tcPr>
            <w:tcW w:w="1284" w:type="dxa"/>
          </w:tcPr>
          <w:p w14:paraId="759C5232">
            <w:pPr>
              <w:spacing w:line="240" w:lineRule="exact"/>
              <w:rPr>
                <w:highlight w:val="yellow"/>
              </w:rPr>
            </w:pPr>
          </w:p>
        </w:tc>
      </w:tr>
      <w:tr w14:paraId="25007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571EFF9A">
            <w:pPr>
              <w:spacing w:line="240" w:lineRule="exact"/>
            </w:pPr>
            <w:r>
              <w:rPr>
                <w:rFonts w:hint="eastAsia"/>
              </w:rPr>
              <w:t>l</w:t>
            </w:r>
            <w:r>
              <w:t>azy-loader</w:t>
            </w:r>
          </w:p>
        </w:tc>
        <w:tc>
          <w:tcPr>
            <w:tcW w:w="5317" w:type="dxa"/>
          </w:tcPr>
          <w:p w14:paraId="04EF2406">
            <w:pPr>
              <w:spacing w:line="240" w:lineRule="exact"/>
            </w:pPr>
            <w:r>
              <w:rPr>
                <w:rFonts w:hint="eastAsia"/>
              </w:rPr>
              <w:t>实现模块的延迟加载（Lazy Loading），减少程序的启动时间和内存占用。</w:t>
            </w:r>
          </w:p>
        </w:tc>
        <w:tc>
          <w:tcPr>
            <w:tcW w:w="1284" w:type="dxa"/>
          </w:tcPr>
          <w:p w14:paraId="10AFD33B">
            <w:pPr>
              <w:spacing w:line="240" w:lineRule="exact"/>
            </w:pPr>
          </w:p>
        </w:tc>
      </w:tr>
      <w:tr w14:paraId="07F68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77A8C75E">
            <w:pPr>
              <w:spacing w:line="240" w:lineRule="exact"/>
            </w:pPr>
            <w:r>
              <w:rPr>
                <w:rFonts w:hint="eastAsia"/>
              </w:rPr>
              <w:t>p</w:t>
            </w:r>
            <w:r>
              <w:t>sutil</w:t>
            </w:r>
          </w:p>
        </w:tc>
        <w:tc>
          <w:tcPr>
            <w:tcW w:w="5317" w:type="dxa"/>
          </w:tcPr>
          <w:p w14:paraId="0DDE7617">
            <w:pPr>
              <w:spacing w:line="240" w:lineRule="exact"/>
            </w:pPr>
            <w:r>
              <w:rPr>
                <w:rFonts w:hint="eastAsia"/>
              </w:rPr>
              <w:t>用于获取系统运行进程和系统利用率（CPU、内存、磁盘、网络）信息的库。</w:t>
            </w:r>
          </w:p>
        </w:tc>
        <w:tc>
          <w:tcPr>
            <w:tcW w:w="1284" w:type="dxa"/>
          </w:tcPr>
          <w:p w14:paraId="0773F89C">
            <w:pPr>
              <w:spacing w:line="240" w:lineRule="exact"/>
              <w:rPr>
                <w:highlight w:val="yellow"/>
              </w:rPr>
            </w:pPr>
          </w:p>
        </w:tc>
      </w:tr>
      <w:tr w14:paraId="50CEC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53774429">
            <w:pPr>
              <w:spacing w:line="240" w:lineRule="exact"/>
            </w:pPr>
            <w:r>
              <w:rPr>
                <w:rFonts w:hint="eastAsia"/>
              </w:rPr>
              <w:t>openblas</w:t>
            </w:r>
          </w:p>
        </w:tc>
        <w:tc>
          <w:tcPr>
            <w:tcW w:w="5317" w:type="dxa"/>
          </w:tcPr>
          <w:p w14:paraId="55C393A3">
            <w:pPr>
              <w:spacing w:line="240" w:lineRule="exact"/>
            </w:pPr>
            <w:r>
              <w:rPr>
                <w:rFonts w:hint="eastAsia"/>
              </w:rPr>
              <w:t>一个开源的高性能BLAS（基础线性代数子程序）库，提供高效的矩阵运算，常用于科学计算与机器学习框架的底层加速。</w:t>
            </w:r>
          </w:p>
        </w:tc>
        <w:tc>
          <w:tcPr>
            <w:tcW w:w="1284" w:type="dxa"/>
          </w:tcPr>
          <w:p w14:paraId="562FFA70">
            <w:pPr>
              <w:spacing w:line="240" w:lineRule="exact"/>
              <w:rPr>
                <w:highlight w:val="yellow"/>
              </w:rPr>
            </w:pPr>
          </w:p>
        </w:tc>
      </w:tr>
      <w:tr w14:paraId="4DAA5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3AE4CCFE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>pyparsing </w:t>
            </w:r>
          </w:p>
        </w:tc>
        <w:tc>
          <w:tcPr>
            <w:tcW w:w="5317" w:type="dxa"/>
          </w:tcPr>
          <w:p w14:paraId="7A32B7FB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>义语法规则、解析结构化文本（如配置文件、日志、DSL等）</w:t>
            </w:r>
          </w:p>
        </w:tc>
        <w:tc>
          <w:tcPr>
            <w:tcW w:w="1284" w:type="dxa"/>
          </w:tcPr>
          <w:p w14:paraId="16C59588">
            <w:pPr>
              <w:spacing w:line="240" w:lineRule="exact"/>
              <w:rPr>
                <w:highlight w:val="yellow"/>
              </w:rPr>
            </w:pPr>
          </w:p>
        </w:tc>
      </w:tr>
    </w:tbl>
    <w:p w14:paraId="3922DEA0">
      <w:pPr>
        <w:pStyle w:val="2"/>
      </w:pPr>
    </w:p>
    <w:p w14:paraId="08810A0F">
      <w:pPr>
        <w:pStyle w:val="2"/>
        <w:ind w:firstLine="480" w:firstLineChars="200"/>
        <w:rPr>
          <w:sz w:val="24"/>
        </w:rPr>
      </w:pPr>
      <w:r>
        <w:rPr>
          <w:rFonts w:hint="eastAsia"/>
          <w:sz w:val="24"/>
          <w:highlight w:val="yellow"/>
        </w:rPr>
        <w:t>编程环境：</w:t>
      </w:r>
      <w:r>
        <w:rPr>
          <w:sz w:val="24"/>
        </w:rPr>
        <w:t>perl, conda, python，</w:t>
      </w:r>
      <w:r>
        <w:rPr>
          <w:rFonts w:hint="eastAsia"/>
          <w:sz w:val="24"/>
        </w:rPr>
        <w:t>G</w:t>
      </w:r>
      <w:r>
        <w:rPr>
          <w:sz w:val="24"/>
        </w:rPr>
        <w:t>CC+，</w:t>
      </w:r>
      <w:r>
        <w:t>Javac，</w:t>
      </w:r>
      <w:r>
        <w:rPr>
          <w:sz w:val="24"/>
        </w:rPr>
        <w:t>vim, ssh。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4090"/>
        <w:gridCol w:w="1780"/>
      </w:tblGrid>
      <w:tr w14:paraId="7B9D3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4" w:type="dxa"/>
          </w:tcPr>
          <w:p w14:paraId="354F79D0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名称</w:t>
            </w:r>
          </w:p>
        </w:tc>
        <w:tc>
          <w:tcPr>
            <w:tcW w:w="4090" w:type="dxa"/>
          </w:tcPr>
          <w:p w14:paraId="478040CE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1780" w:type="dxa"/>
          </w:tcPr>
          <w:p w14:paraId="40ADBC85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7B703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4" w:type="dxa"/>
          </w:tcPr>
          <w:p w14:paraId="58AF41A1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perl</w:t>
            </w:r>
          </w:p>
        </w:tc>
        <w:tc>
          <w:tcPr>
            <w:tcW w:w="4090" w:type="dxa"/>
          </w:tcPr>
          <w:p w14:paraId="387E4BA3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一种高级动态编程语言，专注于文本处理，广泛用于系统管理、Web开发、网络编程等领域。</w:t>
            </w:r>
          </w:p>
        </w:tc>
        <w:tc>
          <w:tcPr>
            <w:tcW w:w="1780" w:type="dxa"/>
          </w:tcPr>
          <w:p w14:paraId="1A4B8F2E">
            <w:pPr>
              <w:spacing w:line="240" w:lineRule="exact"/>
              <w:rPr>
                <w:szCs w:val="21"/>
              </w:rPr>
            </w:pPr>
          </w:p>
        </w:tc>
      </w:tr>
      <w:tr w14:paraId="77667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4" w:type="dxa"/>
          </w:tcPr>
          <w:p w14:paraId="246682F3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conda</w:t>
            </w:r>
          </w:p>
        </w:tc>
        <w:tc>
          <w:tcPr>
            <w:tcW w:w="4090" w:type="dxa"/>
          </w:tcPr>
          <w:p w14:paraId="4DA72EFE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针对Conda环境管理工具的扩展或辅助工具，用于简化Python虚拟环境与依赖包的配置、迁移与部署。</w:t>
            </w:r>
          </w:p>
        </w:tc>
        <w:tc>
          <w:tcPr>
            <w:tcW w:w="1780" w:type="dxa"/>
          </w:tcPr>
          <w:p w14:paraId="70363269">
            <w:pPr>
              <w:spacing w:line="240" w:lineRule="exact"/>
              <w:rPr>
                <w:szCs w:val="21"/>
              </w:rPr>
            </w:pPr>
          </w:p>
        </w:tc>
      </w:tr>
      <w:tr w14:paraId="5F2DF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4" w:type="dxa"/>
          </w:tcPr>
          <w:p w14:paraId="138C0AAD">
            <w:pPr>
              <w:spacing w:line="240" w:lineRule="exact"/>
              <w:rPr>
                <w:szCs w:val="21"/>
              </w:rPr>
            </w:pPr>
            <w:r>
              <w:rPr>
                <w:szCs w:val="21"/>
              </w:rPr>
              <w:t>python</w:t>
            </w:r>
          </w:p>
        </w:tc>
        <w:tc>
          <w:tcPr>
            <w:tcW w:w="4090" w:type="dxa"/>
          </w:tcPr>
          <w:p w14:paraId="4BAA81B2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基本编程语言</w:t>
            </w:r>
          </w:p>
        </w:tc>
        <w:tc>
          <w:tcPr>
            <w:tcW w:w="1780" w:type="dxa"/>
          </w:tcPr>
          <w:p w14:paraId="37D121FC">
            <w:pPr>
              <w:spacing w:line="240" w:lineRule="exact"/>
              <w:rPr>
                <w:szCs w:val="21"/>
              </w:rPr>
            </w:pPr>
            <w:r>
              <w:rPr>
                <w:szCs w:val="21"/>
              </w:rPr>
              <w:t>3.8</w:t>
            </w:r>
            <w:r>
              <w:rPr>
                <w:rFonts w:hint="eastAsia"/>
                <w:szCs w:val="21"/>
              </w:rPr>
              <w:t>以上</w:t>
            </w:r>
          </w:p>
        </w:tc>
      </w:tr>
      <w:tr w14:paraId="6FC5C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4" w:type="dxa"/>
          </w:tcPr>
          <w:p w14:paraId="30C578EC">
            <w:pPr>
              <w:spacing w:line="240" w:lineRule="exact"/>
              <w:rPr>
                <w:szCs w:val="21"/>
              </w:rPr>
            </w:pPr>
            <w:r>
              <w:rPr>
                <w:szCs w:val="21"/>
              </w:rPr>
              <w:t>GCC+</w:t>
            </w:r>
          </w:p>
        </w:tc>
        <w:tc>
          <w:tcPr>
            <w:tcW w:w="4090" w:type="dxa"/>
          </w:tcPr>
          <w:p w14:paraId="3DDDD210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编译工具链的集合，包括编译器、链接器等，用于将源代码转换为可执行文件或库。</w:t>
            </w:r>
          </w:p>
        </w:tc>
        <w:tc>
          <w:tcPr>
            <w:tcW w:w="1780" w:type="dxa"/>
          </w:tcPr>
          <w:p w14:paraId="2F4F3CFE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用于编译C</w:t>
            </w:r>
            <w:r>
              <w:rPr>
                <w:szCs w:val="21"/>
              </w:rPr>
              <w:t>ANN</w:t>
            </w:r>
            <w:r>
              <w:rPr>
                <w:rFonts w:hint="eastAsia"/>
                <w:szCs w:val="21"/>
              </w:rPr>
              <w:t>的底层算子、驱动及部分A</w:t>
            </w: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框架</w:t>
            </w:r>
          </w:p>
        </w:tc>
      </w:tr>
      <w:tr w14:paraId="2D372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4" w:type="dxa"/>
          </w:tcPr>
          <w:p w14:paraId="4ABF97F9">
            <w:pPr>
              <w:spacing w:line="240" w:lineRule="exact"/>
              <w:rPr>
                <w:szCs w:val="21"/>
              </w:rPr>
            </w:pPr>
            <w:r>
              <w:rPr>
                <w:szCs w:val="21"/>
              </w:rPr>
              <w:t>Javac</w:t>
            </w:r>
          </w:p>
        </w:tc>
        <w:tc>
          <w:tcPr>
            <w:tcW w:w="4090" w:type="dxa"/>
          </w:tcPr>
          <w:p w14:paraId="5004DF1A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将.</w:t>
            </w:r>
            <w:r>
              <w:rPr>
                <w:szCs w:val="21"/>
              </w:rPr>
              <w:t>java</w:t>
            </w:r>
            <w:r>
              <w:rPr>
                <w:rFonts w:hint="eastAsia"/>
                <w:szCs w:val="21"/>
              </w:rPr>
              <w:t>源文件编译成.</w:t>
            </w:r>
            <w:r>
              <w:rPr>
                <w:szCs w:val="21"/>
              </w:rPr>
              <w:t>class</w:t>
            </w:r>
            <w:r>
              <w:rPr>
                <w:rFonts w:hint="eastAsia"/>
                <w:szCs w:val="21"/>
              </w:rPr>
              <w:t>字节码文件</w:t>
            </w:r>
          </w:p>
        </w:tc>
        <w:tc>
          <w:tcPr>
            <w:tcW w:w="1780" w:type="dxa"/>
          </w:tcPr>
          <w:p w14:paraId="11C22E18">
            <w:pPr>
              <w:spacing w:line="240" w:lineRule="exact"/>
              <w:rPr>
                <w:szCs w:val="21"/>
              </w:rPr>
            </w:pPr>
          </w:p>
        </w:tc>
      </w:tr>
      <w:tr w14:paraId="1D6B4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4" w:type="dxa"/>
          </w:tcPr>
          <w:p w14:paraId="529A51D2">
            <w:pPr>
              <w:spacing w:line="240" w:lineRule="exact"/>
              <w:rPr>
                <w:szCs w:val="21"/>
              </w:rPr>
            </w:pPr>
            <w:r>
              <w:rPr>
                <w:szCs w:val="21"/>
              </w:rPr>
              <w:t>ssh</w:t>
            </w:r>
          </w:p>
        </w:tc>
        <w:tc>
          <w:tcPr>
            <w:tcW w:w="4090" w:type="dxa"/>
          </w:tcPr>
          <w:p w14:paraId="0382D31B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远程登录服务，便于调试容器</w:t>
            </w:r>
          </w:p>
        </w:tc>
        <w:tc>
          <w:tcPr>
            <w:tcW w:w="1780" w:type="dxa"/>
          </w:tcPr>
          <w:p w14:paraId="7131B724">
            <w:pPr>
              <w:spacing w:line="240" w:lineRule="exact"/>
              <w:rPr>
                <w:szCs w:val="21"/>
              </w:rPr>
            </w:pPr>
          </w:p>
        </w:tc>
      </w:tr>
      <w:tr w14:paraId="522A0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4" w:type="dxa"/>
          </w:tcPr>
          <w:p w14:paraId="130E4689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v</w:t>
            </w:r>
            <w:r>
              <w:rPr>
                <w:szCs w:val="21"/>
              </w:rPr>
              <w:t>im</w:t>
            </w:r>
          </w:p>
        </w:tc>
        <w:tc>
          <w:tcPr>
            <w:tcW w:w="4090" w:type="dxa"/>
          </w:tcPr>
          <w:p w14:paraId="72A58DD8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文本编辑器，用于修改配置文件或代码</w:t>
            </w:r>
          </w:p>
        </w:tc>
        <w:tc>
          <w:tcPr>
            <w:tcW w:w="1780" w:type="dxa"/>
          </w:tcPr>
          <w:p w14:paraId="138BA089">
            <w:pPr>
              <w:spacing w:line="240" w:lineRule="exact"/>
              <w:rPr>
                <w:szCs w:val="21"/>
              </w:rPr>
            </w:pPr>
          </w:p>
        </w:tc>
      </w:tr>
    </w:tbl>
    <w:p w14:paraId="5B9DA771">
      <w:pPr>
        <w:pStyle w:val="2"/>
        <w:ind w:firstLine="480" w:firstLineChars="200"/>
        <w:rPr>
          <w:sz w:val="24"/>
        </w:rPr>
      </w:pPr>
    </w:p>
    <w:p w14:paraId="76B4E54D">
      <w:pPr>
        <w:pStyle w:val="2"/>
        <w:ind w:firstLine="480" w:firstLineChars="200"/>
        <w:rPr>
          <w:sz w:val="24"/>
        </w:rPr>
      </w:pPr>
    </w:p>
    <w:p w14:paraId="145D9AEB">
      <w:pPr>
        <w:pStyle w:val="2"/>
        <w:ind w:firstLine="480" w:firstLineChars="200"/>
        <w:rPr>
          <w:sz w:val="24"/>
        </w:rPr>
      </w:pPr>
      <w:r>
        <w:rPr>
          <w:rFonts w:hint="eastAsia"/>
          <w:sz w:val="24"/>
        </w:rPr>
        <w:t>应用支撑系统包括图形图像大数据支撑环境、人工智能支撑环境、并行编程框架、应用平台基础框架等。</w:t>
      </w:r>
    </w:p>
    <w:p w14:paraId="5B1D3AB2">
      <w:pPr>
        <w:pStyle w:val="2"/>
        <w:ind w:firstLine="480" w:firstLineChars="200"/>
        <w:rPr>
          <w:sz w:val="24"/>
        </w:rPr>
      </w:pPr>
      <w:r>
        <w:rPr>
          <w:rFonts w:hint="eastAsia"/>
          <w:sz w:val="24"/>
          <w:highlight w:val="yellow"/>
        </w:rPr>
        <w:t>图形图像大数据支撑环境：</w:t>
      </w:r>
      <w:r>
        <w:rPr>
          <w:sz w:val="24"/>
        </w:rPr>
        <w:t>gdal, opencv_python, matplotlib,</w:t>
      </w:r>
      <w:r>
        <w:rPr>
          <w:rFonts w:hint="eastAsia"/>
          <w:sz w:val="24"/>
        </w:rPr>
        <w:t xml:space="preserve"> cycler, kiwisolver, fonttools</w:t>
      </w:r>
      <w:r>
        <w:rPr>
          <w:sz w:val="24"/>
        </w:rPr>
        <w:t>，s</w:t>
      </w:r>
      <w:r>
        <w:rPr>
          <w:rFonts w:hint="eastAsia"/>
          <w:sz w:val="24"/>
        </w:rPr>
        <w:t>cikit_image, imageio, tifffile, PyWavelets, albumentations, pillow</w:t>
      </w:r>
    </w:p>
    <w:p w14:paraId="7AC1E677">
      <w:pPr>
        <w:pStyle w:val="2"/>
        <w:ind w:firstLine="480" w:firstLineChars="200"/>
        <w:rPr>
          <w:sz w:val="2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5439"/>
        <w:gridCol w:w="1172"/>
      </w:tblGrid>
      <w:tr w14:paraId="23302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362022AB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名称</w:t>
            </w:r>
          </w:p>
        </w:tc>
        <w:tc>
          <w:tcPr>
            <w:tcW w:w="5439" w:type="dxa"/>
          </w:tcPr>
          <w:p w14:paraId="614B9BA6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1172" w:type="dxa"/>
          </w:tcPr>
          <w:p w14:paraId="38C8D7EB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版本</w:t>
            </w:r>
          </w:p>
        </w:tc>
      </w:tr>
      <w:tr w14:paraId="0BDEB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756F559A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gdal</w:t>
            </w:r>
          </w:p>
        </w:tc>
        <w:tc>
          <w:tcPr>
            <w:tcW w:w="5439" w:type="dxa"/>
          </w:tcPr>
          <w:p w14:paraId="679BC335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读/写栅格数据、空间参考和坐标转换、栅格处理、矢量数据处理</w:t>
            </w:r>
          </w:p>
        </w:tc>
        <w:tc>
          <w:tcPr>
            <w:tcW w:w="1172" w:type="dxa"/>
          </w:tcPr>
          <w:p w14:paraId="48FC9F7D">
            <w:pPr>
              <w:spacing w:line="240" w:lineRule="exact"/>
              <w:rPr>
                <w:szCs w:val="21"/>
              </w:rPr>
            </w:pPr>
          </w:p>
        </w:tc>
      </w:tr>
      <w:tr w14:paraId="3A58B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68A00587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szCs w:val="21"/>
              </w:rPr>
              <w:t>illow</w:t>
            </w:r>
          </w:p>
        </w:tc>
        <w:tc>
          <w:tcPr>
            <w:tcW w:w="5439" w:type="dxa"/>
          </w:tcPr>
          <w:p w14:paraId="07F79833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图像处理库（PIL 的分支），用于图像打开、裁剪、缩放、格式转换等基本操作。</w:t>
            </w:r>
          </w:p>
        </w:tc>
        <w:tc>
          <w:tcPr>
            <w:tcW w:w="1172" w:type="dxa"/>
          </w:tcPr>
          <w:p w14:paraId="27F864BC">
            <w:pPr>
              <w:spacing w:line="240" w:lineRule="exact"/>
              <w:rPr>
                <w:szCs w:val="21"/>
              </w:rPr>
            </w:pPr>
          </w:p>
        </w:tc>
      </w:tr>
      <w:tr w14:paraId="7DBE7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28084E4D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a</w:t>
            </w:r>
            <w:r>
              <w:rPr>
                <w:szCs w:val="21"/>
              </w:rPr>
              <w:t>lbumentations</w:t>
            </w:r>
          </w:p>
        </w:tc>
        <w:tc>
          <w:tcPr>
            <w:tcW w:w="5439" w:type="dxa"/>
          </w:tcPr>
          <w:p w14:paraId="043C0315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高性能图像增强库，专为深度学习设计，支持目标检测、分割等任务的空间和像素级变换。</w:t>
            </w:r>
          </w:p>
        </w:tc>
        <w:tc>
          <w:tcPr>
            <w:tcW w:w="1172" w:type="dxa"/>
          </w:tcPr>
          <w:p w14:paraId="599A7916">
            <w:pPr>
              <w:spacing w:line="240" w:lineRule="exact"/>
              <w:rPr>
                <w:szCs w:val="21"/>
              </w:rPr>
            </w:pPr>
          </w:p>
        </w:tc>
      </w:tr>
      <w:tr w14:paraId="5E4D1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1C437C15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o</w:t>
            </w:r>
            <w:r>
              <w:rPr>
                <w:szCs w:val="21"/>
              </w:rPr>
              <w:t>pencv_python</w:t>
            </w:r>
          </w:p>
        </w:tc>
        <w:tc>
          <w:tcPr>
            <w:tcW w:w="5439" w:type="dxa"/>
          </w:tcPr>
          <w:p w14:paraId="30FACFC4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OpenCV 的 Python 绑定，提供丰富的计算机视觉算法（如特征检测、视频分析、相机标定）。</w:t>
            </w:r>
          </w:p>
        </w:tc>
        <w:tc>
          <w:tcPr>
            <w:tcW w:w="1172" w:type="dxa"/>
          </w:tcPr>
          <w:p w14:paraId="7EC69A04">
            <w:pPr>
              <w:spacing w:line="240" w:lineRule="exact"/>
              <w:rPr>
                <w:szCs w:val="21"/>
              </w:rPr>
            </w:pPr>
          </w:p>
        </w:tc>
      </w:tr>
      <w:tr w14:paraId="0816C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70FE3380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k</w:t>
            </w:r>
            <w:r>
              <w:rPr>
                <w:szCs w:val="21"/>
              </w:rPr>
              <w:t>iwisolver</w:t>
            </w:r>
          </w:p>
        </w:tc>
        <w:tc>
          <w:tcPr>
            <w:tcW w:w="5439" w:type="dxa"/>
          </w:tcPr>
          <w:p w14:paraId="43F9189E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高效的约束求解库，用于计算布局（如 matplotlib 的坐标轴位置）。</w:t>
            </w:r>
          </w:p>
        </w:tc>
        <w:tc>
          <w:tcPr>
            <w:tcW w:w="1172" w:type="dxa"/>
          </w:tcPr>
          <w:p w14:paraId="74B5DDE1">
            <w:pPr>
              <w:spacing w:line="240" w:lineRule="exact"/>
              <w:rPr>
                <w:szCs w:val="21"/>
              </w:rPr>
            </w:pPr>
          </w:p>
        </w:tc>
      </w:tr>
      <w:tr w14:paraId="222F6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2C7F1F8B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f</w:t>
            </w:r>
            <w:r>
              <w:rPr>
                <w:szCs w:val="21"/>
              </w:rPr>
              <w:t>onttools</w:t>
            </w:r>
          </w:p>
        </w:tc>
        <w:tc>
          <w:tcPr>
            <w:tcW w:w="5439" w:type="dxa"/>
          </w:tcPr>
          <w:p w14:paraId="23DF216F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用于读取、写入和操作字体文件（TTF/OTF）的工具库。</w:t>
            </w:r>
          </w:p>
        </w:tc>
        <w:tc>
          <w:tcPr>
            <w:tcW w:w="1172" w:type="dxa"/>
          </w:tcPr>
          <w:p w14:paraId="17199668">
            <w:pPr>
              <w:spacing w:line="240" w:lineRule="exact"/>
              <w:rPr>
                <w:szCs w:val="21"/>
              </w:rPr>
            </w:pPr>
          </w:p>
        </w:tc>
      </w:tr>
      <w:tr w14:paraId="5A4F4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512E886E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>
              <w:rPr>
                <w:szCs w:val="21"/>
              </w:rPr>
              <w:t>ycler</w:t>
            </w:r>
          </w:p>
        </w:tc>
        <w:tc>
          <w:tcPr>
            <w:tcW w:w="5439" w:type="dxa"/>
          </w:tcPr>
          <w:p w14:paraId="76009552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用于创建循环迭代器，方便在绘图时为多条曲线分配不同的颜色或样式。</w:t>
            </w:r>
          </w:p>
        </w:tc>
        <w:tc>
          <w:tcPr>
            <w:tcW w:w="1172" w:type="dxa"/>
          </w:tcPr>
          <w:p w14:paraId="1D229EEA">
            <w:pPr>
              <w:spacing w:line="240" w:lineRule="exact"/>
              <w:rPr>
                <w:szCs w:val="21"/>
              </w:rPr>
            </w:pPr>
          </w:p>
        </w:tc>
      </w:tr>
      <w:tr w14:paraId="097DF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2201B68C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>
              <w:rPr>
                <w:szCs w:val="21"/>
              </w:rPr>
              <w:t>ontourpy</w:t>
            </w:r>
          </w:p>
        </w:tc>
        <w:tc>
          <w:tcPr>
            <w:tcW w:w="5439" w:type="dxa"/>
          </w:tcPr>
          <w:p w14:paraId="2D10A90F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用于计算等高线的库，是 matplotlib绘制等高图和轮廓图的底层引擎。</w:t>
            </w:r>
          </w:p>
        </w:tc>
        <w:tc>
          <w:tcPr>
            <w:tcW w:w="1172" w:type="dxa"/>
          </w:tcPr>
          <w:p w14:paraId="07796D91">
            <w:pPr>
              <w:spacing w:line="240" w:lineRule="exact"/>
              <w:rPr>
                <w:szCs w:val="21"/>
              </w:rPr>
            </w:pPr>
          </w:p>
        </w:tc>
      </w:tr>
      <w:tr w14:paraId="746CF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6F7BBC25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szCs w:val="21"/>
              </w:rPr>
              <w:t>yWavelets</w:t>
            </w:r>
          </w:p>
        </w:tc>
        <w:tc>
          <w:tcPr>
            <w:tcW w:w="5439" w:type="dxa"/>
          </w:tcPr>
          <w:p w14:paraId="09D05EE9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用于离散小波变换（DWT）和小波包变换的信号/图像处理库。</w:t>
            </w:r>
          </w:p>
        </w:tc>
        <w:tc>
          <w:tcPr>
            <w:tcW w:w="1172" w:type="dxa"/>
          </w:tcPr>
          <w:p w14:paraId="551A8A33">
            <w:pPr>
              <w:spacing w:line="240" w:lineRule="exact"/>
              <w:rPr>
                <w:szCs w:val="21"/>
              </w:rPr>
            </w:pPr>
          </w:p>
        </w:tc>
      </w:tr>
      <w:tr w14:paraId="1468F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70953A5B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t</w:t>
            </w:r>
            <w:r>
              <w:rPr>
                <w:szCs w:val="21"/>
              </w:rPr>
              <w:t>ifffile</w:t>
            </w:r>
          </w:p>
        </w:tc>
        <w:tc>
          <w:tcPr>
            <w:tcW w:w="5439" w:type="dxa"/>
          </w:tcPr>
          <w:p w14:paraId="5397B8A0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专门用于读写 TIFF 和基于 TIFF 的文件格式（如 OME-TIFF、GeoTIFF）的库。</w:t>
            </w:r>
          </w:p>
        </w:tc>
        <w:tc>
          <w:tcPr>
            <w:tcW w:w="1172" w:type="dxa"/>
          </w:tcPr>
          <w:p w14:paraId="45D087EC">
            <w:pPr>
              <w:spacing w:line="240" w:lineRule="exact"/>
              <w:rPr>
                <w:szCs w:val="21"/>
              </w:rPr>
            </w:pPr>
          </w:p>
        </w:tc>
      </w:tr>
      <w:tr w14:paraId="59D83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1ACF5AF6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mageio</w:t>
            </w:r>
          </w:p>
        </w:tc>
        <w:tc>
          <w:tcPr>
            <w:tcW w:w="5439" w:type="dxa"/>
          </w:tcPr>
          <w:p w14:paraId="0A723FCE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提供统一接口用于读取和写入多种图像及视频格式。</w:t>
            </w:r>
          </w:p>
        </w:tc>
        <w:tc>
          <w:tcPr>
            <w:tcW w:w="1172" w:type="dxa"/>
          </w:tcPr>
          <w:p w14:paraId="0E9FAE45">
            <w:pPr>
              <w:spacing w:line="240" w:lineRule="exact"/>
              <w:rPr>
                <w:szCs w:val="21"/>
              </w:rPr>
            </w:pPr>
          </w:p>
        </w:tc>
      </w:tr>
      <w:tr w14:paraId="5A20A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03E7160A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cikit_image</w:t>
            </w:r>
          </w:p>
        </w:tc>
        <w:tc>
          <w:tcPr>
            <w:tcW w:w="5439" w:type="dxa"/>
          </w:tcPr>
          <w:p w14:paraId="515D042C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基于 SciPy 的图像处理算法库，提供滤波、形态学、分割等高级算法。</w:t>
            </w:r>
          </w:p>
        </w:tc>
        <w:tc>
          <w:tcPr>
            <w:tcW w:w="1172" w:type="dxa"/>
          </w:tcPr>
          <w:p w14:paraId="589F5D5C">
            <w:pPr>
              <w:spacing w:line="240" w:lineRule="exact"/>
              <w:rPr>
                <w:szCs w:val="21"/>
              </w:rPr>
            </w:pPr>
          </w:p>
        </w:tc>
      </w:tr>
      <w:tr w14:paraId="05D21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0180EADA">
            <w:pPr>
              <w:spacing w:line="240" w:lineRule="exact"/>
              <w:rPr>
                <w:szCs w:val="21"/>
                <w:highlight w:val="yellow"/>
              </w:rPr>
            </w:pPr>
            <w:r>
              <w:rPr>
                <w:szCs w:val="21"/>
              </w:rPr>
              <w:t>matplotlib</w:t>
            </w:r>
          </w:p>
        </w:tc>
        <w:tc>
          <w:tcPr>
            <w:tcW w:w="5439" w:type="dxa"/>
          </w:tcPr>
          <w:p w14:paraId="6A76EC1B">
            <w:pPr>
              <w:spacing w:line="240" w:lineRule="exact"/>
              <w:rPr>
                <w:szCs w:val="21"/>
                <w:highlight w:val="yellow"/>
              </w:rPr>
            </w:pPr>
            <w:r>
              <w:rPr>
                <w:rFonts w:hint="eastAsia"/>
                <w:szCs w:val="21"/>
              </w:rPr>
              <w:t>数据可视化，绘制训练曲线或检测结果</w:t>
            </w:r>
          </w:p>
        </w:tc>
        <w:tc>
          <w:tcPr>
            <w:tcW w:w="1172" w:type="dxa"/>
          </w:tcPr>
          <w:p w14:paraId="6A112CEA">
            <w:pPr>
              <w:spacing w:line="240" w:lineRule="exact"/>
              <w:rPr>
                <w:szCs w:val="21"/>
              </w:rPr>
            </w:pPr>
          </w:p>
        </w:tc>
      </w:tr>
    </w:tbl>
    <w:p w14:paraId="5C87C5B2">
      <w:pPr>
        <w:pStyle w:val="2"/>
        <w:ind w:firstLine="480" w:firstLineChars="200"/>
        <w:rPr>
          <w:sz w:val="24"/>
        </w:rPr>
      </w:pPr>
    </w:p>
    <w:p w14:paraId="741AEBA0">
      <w:pPr>
        <w:pStyle w:val="2"/>
        <w:ind w:firstLine="480" w:firstLineChars="200"/>
        <w:rPr>
          <w:sz w:val="24"/>
        </w:rPr>
      </w:pPr>
    </w:p>
    <w:p w14:paraId="1988CBA6">
      <w:pPr>
        <w:pStyle w:val="2"/>
        <w:ind w:firstLine="480" w:firstLineChars="200"/>
        <w:rPr>
          <w:sz w:val="24"/>
        </w:rPr>
      </w:pPr>
      <w:r>
        <w:rPr>
          <w:rFonts w:hint="eastAsia"/>
          <w:sz w:val="24"/>
          <w:highlight w:val="yellow"/>
        </w:rPr>
        <w:t>人工智能支撑环境(AI框架/模型库)：</w:t>
      </w:r>
      <w:r>
        <w:rPr>
          <w:rFonts w:hint="eastAsia"/>
          <w:sz w:val="24"/>
        </w:rPr>
        <w:t>torch, torchvision, thop,timm；mmcv, mmengine, mmdetection, mmsegmentation, mmrotate, mmpretrain, mmrazor，</w:t>
      </w:r>
      <w:r>
        <w:rPr>
          <w:rFonts w:hint="eastAsia"/>
        </w:rPr>
        <w:t>mmdeploy</w:t>
      </w:r>
      <w:r>
        <w:rPr>
          <w:rFonts w:hint="eastAsia"/>
          <w:sz w:val="24"/>
        </w:rPr>
        <w:t>；ultralytics,open-CD, BIT_CD, pycocotools。</w:t>
      </w:r>
      <w:r>
        <w:rPr>
          <w:sz w:val="24"/>
        </w:rPr>
        <w:t xml:space="preserve"> </w:t>
      </w:r>
    </w:p>
    <w:p w14:paraId="2F1DF449">
      <w:pPr>
        <w:pStyle w:val="2"/>
        <w:ind w:firstLine="480" w:firstLineChars="200"/>
        <w:rPr>
          <w:sz w:val="24"/>
        </w:rPr>
      </w:pPr>
      <w:r>
        <w:rPr>
          <w:rFonts w:hint="eastAsia"/>
          <w:sz w:val="24"/>
        </w:rPr>
        <w:t>深度学习框架：</w:t>
      </w:r>
    </w:p>
    <w:tbl>
      <w:tblPr>
        <w:tblStyle w:val="6"/>
        <w:tblW w:w="85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7"/>
        <w:gridCol w:w="4238"/>
        <w:gridCol w:w="3030"/>
      </w:tblGrid>
      <w:tr w14:paraId="0CDA8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7E3297AC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名称</w:t>
            </w:r>
          </w:p>
        </w:tc>
        <w:tc>
          <w:tcPr>
            <w:tcW w:w="4238" w:type="dxa"/>
          </w:tcPr>
          <w:p w14:paraId="47754E17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3030" w:type="dxa"/>
          </w:tcPr>
          <w:p w14:paraId="58FF4B58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6EF47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25185DF2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torch</w:t>
            </w:r>
          </w:p>
        </w:tc>
        <w:tc>
          <w:tcPr>
            <w:tcW w:w="4238" w:type="dxa"/>
          </w:tcPr>
          <w:p w14:paraId="1E07E60D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底层框架与工具：</w:t>
            </w:r>
            <w:r>
              <w:rPr>
                <w:rFonts w:hint="eastAsia"/>
              </w:rPr>
              <w:t>PyTorch</w:t>
            </w:r>
            <w:r>
              <w:rPr>
                <w:rFonts w:hint="eastAsia"/>
                <w:szCs w:val="21"/>
              </w:rPr>
              <w:t>深度学习框架</w:t>
            </w:r>
          </w:p>
        </w:tc>
        <w:tc>
          <w:tcPr>
            <w:tcW w:w="3030" w:type="dxa"/>
            <w:vMerge w:val="restart"/>
          </w:tcPr>
          <w:p w14:paraId="009C03A6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需要替换为华为的t</w:t>
            </w:r>
            <w:r>
              <w:rPr>
                <w:szCs w:val="21"/>
              </w:rPr>
              <w:t>orch_npu，</w:t>
            </w:r>
            <w:r>
              <w:rPr>
                <w:rFonts w:hint="eastAsia"/>
              </w:rPr>
              <w:t>以支持`.to('npu')</w:t>
            </w:r>
          </w:p>
        </w:tc>
      </w:tr>
      <w:tr w14:paraId="5EE6A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5F533788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torchvision</w:t>
            </w:r>
          </w:p>
        </w:tc>
        <w:tc>
          <w:tcPr>
            <w:tcW w:w="4238" w:type="dxa"/>
          </w:tcPr>
          <w:p w14:paraId="7E1D4633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底层框架与工具：</w:t>
            </w:r>
            <w:r>
              <w:rPr>
                <w:rFonts w:hint="eastAsia"/>
              </w:rPr>
              <w:t>预置CV模型</w:t>
            </w:r>
          </w:p>
        </w:tc>
        <w:tc>
          <w:tcPr>
            <w:tcW w:w="3030" w:type="dxa"/>
            <w:vMerge w:val="continue"/>
          </w:tcPr>
          <w:p w14:paraId="2B254E81">
            <w:pPr>
              <w:spacing w:line="240" w:lineRule="exact"/>
              <w:rPr>
                <w:szCs w:val="21"/>
              </w:rPr>
            </w:pPr>
          </w:p>
        </w:tc>
      </w:tr>
      <w:tr w14:paraId="0705A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68893FB8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t</w:t>
            </w:r>
            <w:r>
              <w:rPr>
                <w:szCs w:val="21"/>
              </w:rPr>
              <w:t>hop</w:t>
            </w:r>
          </w:p>
        </w:tc>
        <w:tc>
          <w:tcPr>
            <w:tcW w:w="4238" w:type="dxa"/>
          </w:tcPr>
          <w:p w14:paraId="0A846969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（Torch-OpCounter）用于统计 PyTorch 模型的 FLOPs（浮点运算次数）和参数量。</w:t>
            </w:r>
          </w:p>
        </w:tc>
        <w:tc>
          <w:tcPr>
            <w:tcW w:w="3030" w:type="dxa"/>
          </w:tcPr>
          <w:p w14:paraId="7C263723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</w:rPr>
              <w:t>纯Python计算，无硬件依赖</w:t>
            </w:r>
          </w:p>
        </w:tc>
      </w:tr>
      <w:tr w14:paraId="25D5E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1F0EE758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timm</w:t>
            </w:r>
          </w:p>
        </w:tc>
        <w:tc>
          <w:tcPr>
            <w:tcW w:w="4238" w:type="dxa"/>
          </w:tcPr>
          <w:p w14:paraId="49073047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</w:rPr>
              <w:t>预训练图像模型库（ResNet, ViT等）</w:t>
            </w:r>
          </w:p>
        </w:tc>
        <w:tc>
          <w:tcPr>
            <w:tcW w:w="3030" w:type="dxa"/>
          </w:tcPr>
          <w:p w14:paraId="79FCD581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</w:rPr>
              <w:t>通常可直接使用，但需确保底层torch已适配</w:t>
            </w:r>
          </w:p>
        </w:tc>
      </w:tr>
      <w:tr w14:paraId="0A99A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37C638AE">
            <w:pPr>
              <w:spacing w:line="24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8"/>
              </w:rPr>
              <w:t>Apex</w:t>
            </w:r>
          </w:p>
        </w:tc>
        <w:tc>
          <w:tcPr>
            <w:tcW w:w="4238" w:type="dxa"/>
          </w:tcPr>
          <w:p w14:paraId="02C09115">
            <w:pPr>
              <w:spacing w:line="240" w:lineRule="exact"/>
              <w:rPr>
                <w:rFonts w:hint="eastAsia"/>
              </w:rPr>
            </w:pPr>
            <w:r>
              <w:rPr>
                <w:rFonts w:hint="default"/>
                <w:szCs w:val="28"/>
                <w:lang w:val="en-US" w:eastAsia="zh-CN"/>
              </w:rPr>
              <w:t>自动混合精度加速（昇腾社区补丁）</w:t>
            </w:r>
          </w:p>
        </w:tc>
        <w:tc>
          <w:tcPr>
            <w:tcW w:w="3030" w:type="dxa"/>
          </w:tcPr>
          <w:p w14:paraId="2AC58FE8">
            <w:pPr>
              <w:spacing w:line="240" w:lineRule="exact"/>
              <w:rPr>
                <w:rFonts w:hint="eastAsia"/>
              </w:rPr>
            </w:pPr>
            <w:r>
              <w:rPr>
                <w:rFonts w:hint="default"/>
                <w:szCs w:val="28"/>
                <w:lang w:val="en-US" w:eastAsia="zh-CN"/>
              </w:rPr>
              <w:t>Ascend 适配版</w:t>
            </w:r>
          </w:p>
        </w:tc>
      </w:tr>
      <w:tr w14:paraId="7C55C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2361F268">
            <w:pPr>
              <w:spacing w:line="240" w:lineRule="exact"/>
              <w:rPr>
                <w:rFonts w:hint="eastAsia"/>
                <w:szCs w:val="28"/>
              </w:rPr>
            </w:pPr>
            <w:r>
              <w:rPr>
                <w:rFonts w:hint="default"/>
                <w:szCs w:val="28"/>
                <w:lang w:val="en-US" w:eastAsia="zh-CN"/>
              </w:rPr>
              <w:t>horovod</w:t>
            </w:r>
          </w:p>
        </w:tc>
        <w:tc>
          <w:tcPr>
            <w:tcW w:w="4238" w:type="dxa"/>
          </w:tcPr>
          <w:p w14:paraId="6351A4E5">
            <w:pPr>
              <w:spacing w:line="240" w:lineRule="exact"/>
              <w:rPr>
                <w:rFonts w:hint="default"/>
                <w:szCs w:val="28"/>
                <w:lang w:val="en-US" w:eastAsia="zh-CN"/>
              </w:rPr>
            </w:pPr>
            <w:r>
              <w:rPr>
                <w:rFonts w:hint="default"/>
                <w:szCs w:val="28"/>
                <w:lang w:val="en-US" w:eastAsia="zh-CN"/>
              </w:rPr>
              <w:t>分布式训练框架（需替换后端）</w:t>
            </w:r>
          </w:p>
        </w:tc>
        <w:tc>
          <w:tcPr>
            <w:tcW w:w="3030" w:type="dxa"/>
          </w:tcPr>
          <w:p w14:paraId="03688AAB">
            <w:pPr>
              <w:spacing w:line="240" w:lineRule="exact"/>
              <w:rPr>
                <w:rFonts w:hint="default"/>
                <w:szCs w:val="28"/>
                <w:lang w:val="en-US" w:eastAsia="zh-CN"/>
              </w:rPr>
            </w:pPr>
            <w:r>
              <w:rPr>
                <w:rFonts w:hint="default"/>
                <w:szCs w:val="28"/>
                <w:lang w:val="en-US" w:eastAsia="zh-CN"/>
              </w:rPr>
              <w:t>需改用 HCCL</w:t>
            </w:r>
          </w:p>
        </w:tc>
      </w:tr>
      <w:tr w14:paraId="7EB1A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3C8957B4">
            <w:pPr>
              <w:spacing w:line="240" w:lineRule="exact"/>
              <w:rPr>
                <w:rFonts w:hint="default"/>
                <w:szCs w:val="28"/>
                <w:lang w:val="en-US" w:eastAsia="zh-CN"/>
              </w:rPr>
            </w:pPr>
            <w:r>
              <w:rPr>
                <w:rFonts w:hint="default"/>
                <w:szCs w:val="28"/>
                <w:lang w:val="en-US" w:eastAsia="zh-CN"/>
              </w:rPr>
              <w:t>onnx</w:t>
            </w:r>
          </w:p>
        </w:tc>
        <w:tc>
          <w:tcPr>
            <w:tcW w:w="4238" w:type="dxa"/>
          </w:tcPr>
          <w:p w14:paraId="74DEAE2E">
            <w:pPr>
              <w:spacing w:line="240" w:lineRule="exact"/>
              <w:rPr>
                <w:rFonts w:hint="default"/>
                <w:szCs w:val="28"/>
                <w:lang w:val="en-US" w:eastAsia="zh-CN"/>
              </w:rPr>
            </w:pPr>
            <w:r>
              <w:rPr>
                <w:rFonts w:hint="default"/>
                <w:szCs w:val="28"/>
                <w:lang w:val="en-US" w:eastAsia="zh-CN"/>
              </w:rPr>
              <w:t>模型开放式表示与推理</w:t>
            </w:r>
          </w:p>
        </w:tc>
        <w:tc>
          <w:tcPr>
            <w:tcW w:w="3030" w:type="dxa"/>
          </w:tcPr>
          <w:p w14:paraId="1AB181E6">
            <w:pPr>
              <w:spacing w:line="240" w:lineRule="exact"/>
              <w:rPr>
                <w:rFonts w:hint="default"/>
                <w:szCs w:val="28"/>
                <w:lang w:val="en-US" w:eastAsia="zh-CN"/>
              </w:rPr>
            </w:pPr>
            <w:r>
              <w:rPr>
                <w:rFonts w:hint="default"/>
                <w:szCs w:val="28"/>
                <w:lang w:val="en-US" w:eastAsia="zh-CN"/>
              </w:rPr>
              <w:t>需配合昇腾推理引擎（MindIE）</w:t>
            </w:r>
          </w:p>
        </w:tc>
      </w:tr>
      <w:tr w14:paraId="0DAA2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7" w:type="dxa"/>
          </w:tcPr>
          <w:p w14:paraId="094286AD">
            <w:pPr>
              <w:spacing w:line="240" w:lineRule="exact"/>
              <w:rPr>
                <w:rFonts w:hint="default"/>
                <w:szCs w:val="28"/>
                <w:lang w:val="en-US" w:eastAsia="zh-CN"/>
              </w:rPr>
            </w:pPr>
            <w:r>
              <w:rPr>
                <w:rFonts w:hint="default"/>
                <w:szCs w:val="28"/>
                <w:lang w:val="en-US" w:eastAsia="zh-CN"/>
              </w:rPr>
              <w:t>inplace_abn</w:t>
            </w:r>
          </w:p>
        </w:tc>
        <w:tc>
          <w:tcPr>
            <w:tcW w:w="4238" w:type="dxa"/>
          </w:tcPr>
          <w:p w14:paraId="4DE257E9">
            <w:pPr>
              <w:spacing w:line="240" w:lineRule="exact"/>
              <w:rPr>
                <w:rFonts w:hint="default"/>
                <w:szCs w:val="28"/>
                <w:lang w:val="en-US" w:eastAsia="zh-CN"/>
              </w:rPr>
            </w:pPr>
            <w:r>
              <w:rPr>
                <w:rFonts w:hint="default"/>
                <w:szCs w:val="28"/>
                <w:lang w:val="en-US" w:eastAsia="zh-CN"/>
              </w:rPr>
              <w:t>节省显存的 BN+Act 融合</w:t>
            </w:r>
          </w:p>
        </w:tc>
        <w:tc>
          <w:tcPr>
            <w:tcW w:w="3030" w:type="dxa"/>
          </w:tcPr>
          <w:p w14:paraId="21B2C70B">
            <w:pPr>
              <w:spacing w:line="240" w:lineRule="exact"/>
              <w:rPr>
                <w:rFonts w:hint="default"/>
                <w:szCs w:val="28"/>
                <w:lang w:val="en-US" w:eastAsia="zh-CN"/>
              </w:rPr>
            </w:pPr>
            <w:r>
              <w:rPr>
                <w:rFonts w:hint="default"/>
                <w:szCs w:val="28"/>
                <w:lang w:val="en-US" w:eastAsia="zh-CN"/>
              </w:rPr>
              <w:t>需谨慎适配</w:t>
            </w:r>
          </w:p>
        </w:tc>
      </w:tr>
    </w:tbl>
    <w:p w14:paraId="5F29AB2B">
      <w:pPr>
        <w:pStyle w:val="2"/>
        <w:ind w:firstLine="480" w:firstLineChars="200"/>
        <w:rPr>
          <w:sz w:val="24"/>
        </w:rPr>
      </w:pPr>
    </w:p>
    <w:p w14:paraId="2CBF208A">
      <w:pPr>
        <w:pStyle w:val="2"/>
        <w:ind w:firstLine="480" w:firstLineChars="200"/>
        <w:rPr>
          <w:sz w:val="24"/>
        </w:rPr>
      </w:pPr>
    </w:p>
    <w:p w14:paraId="1F40CF8F">
      <w:pPr>
        <w:pStyle w:val="2"/>
        <w:ind w:firstLine="420" w:firstLineChars="200"/>
        <w:rPr>
          <w:sz w:val="24"/>
        </w:rPr>
      </w:pPr>
      <w:r>
        <w:rPr>
          <w:rFonts w:hint="eastAsia"/>
        </w:rPr>
        <w:t>OpenMMLab生态：安装torch_npu后可直接运行（mmdeploy需验证）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4600"/>
        <w:gridCol w:w="1977"/>
      </w:tblGrid>
      <w:tr w14:paraId="79786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4A97F31D">
            <w:pPr>
              <w:spacing w:line="240" w:lineRule="exact"/>
            </w:pPr>
            <w:r>
              <w:rPr>
                <w:rFonts w:hint="eastAsia"/>
              </w:rPr>
              <w:t>名称</w:t>
            </w:r>
          </w:p>
        </w:tc>
        <w:tc>
          <w:tcPr>
            <w:tcW w:w="4600" w:type="dxa"/>
          </w:tcPr>
          <w:p w14:paraId="650F91EC">
            <w:pPr>
              <w:spacing w:line="240" w:lineRule="exact"/>
            </w:pPr>
            <w:r>
              <w:rPr>
                <w:rFonts w:hint="eastAsia"/>
              </w:rPr>
              <w:t>功能</w:t>
            </w:r>
          </w:p>
        </w:tc>
        <w:tc>
          <w:tcPr>
            <w:tcW w:w="1977" w:type="dxa"/>
          </w:tcPr>
          <w:p w14:paraId="49008B55">
            <w:pPr>
              <w:spacing w:line="240" w:lineRule="exact"/>
            </w:pPr>
            <w:r>
              <w:rPr>
                <w:rFonts w:hint="eastAsia"/>
              </w:rPr>
              <w:t>备注</w:t>
            </w:r>
          </w:p>
        </w:tc>
      </w:tr>
      <w:tr w14:paraId="6E8D6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4C802E4A">
            <w:pPr>
              <w:spacing w:line="240" w:lineRule="exact"/>
            </w:pPr>
            <w:r>
              <w:rPr>
                <w:rFonts w:hint="eastAsia"/>
              </w:rPr>
              <w:t>mmc</w:t>
            </w:r>
            <w:r>
              <w:t>v</w:t>
            </w:r>
          </w:p>
        </w:tc>
        <w:tc>
          <w:tcPr>
            <w:tcW w:w="4600" w:type="dxa"/>
          </w:tcPr>
          <w:p w14:paraId="1F34C282">
            <w:pPr>
              <w:spacing w:line="240" w:lineRule="exact"/>
            </w:pPr>
            <w:r>
              <w:rPr>
                <w:rFonts w:hint="eastAsia"/>
              </w:rPr>
              <w:t>计算机视觉基础库。数据处理与增强，高性能 CUDA 算子，模型构建与工具</w:t>
            </w:r>
          </w:p>
        </w:tc>
        <w:tc>
          <w:tcPr>
            <w:tcW w:w="1977" w:type="dxa"/>
          </w:tcPr>
          <w:p w14:paraId="5A8C3B75">
            <w:pPr>
              <w:spacing w:line="240" w:lineRule="exact"/>
            </w:pPr>
            <w:r>
              <w:t>原生支持昇腾NPU</w:t>
            </w:r>
          </w:p>
        </w:tc>
      </w:tr>
      <w:tr w14:paraId="3976F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1BC0B598">
            <w:pPr>
              <w:spacing w:line="240" w:lineRule="exact"/>
            </w:pPr>
            <w:r>
              <w:rPr>
                <w:rFonts w:hint="eastAsia"/>
              </w:rPr>
              <w:t>m</w:t>
            </w:r>
            <w:r>
              <w:t>mengine</w:t>
            </w:r>
          </w:p>
        </w:tc>
        <w:tc>
          <w:tcPr>
            <w:tcW w:w="4600" w:type="dxa"/>
          </w:tcPr>
          <w:p w14:paraId="5E645B76">
            <w:pPr>
              <w:spacing w:line="240" w:lineRule="exact"/>
            </w:pPr>
            <w:r>
              <w:rPr>
                <w:rFonts w:hint="eastAsia"/>
              </w:rPr>
              <w:t>OpenMMLab 2.0 生态的训练引擎底座。驱动模型训练、评测和推理。</w:t>
            </w:r>
          </w:p>
        </w:tc>
        <w:tc>
          <w:tcPr>
            <w:tcW w:w="1977" w:type="dxa"/>
          </w:tcPr>
          <w:p w14:paraId="27B75E7D">
            <w:pPr>
              <w:spacing w:line="240" w:lineRule="exact"/>
            </w:pPr>
            <w:r>
              <w:t>原生支持昇腾NPU</w:t>
            </w:r>
          </w:p>
        </w:tc>
      </w:tr>
      <w:tr w14:paraId="43B24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58B5208A">
            <w:pPr>
              <w:spacing w:line="240" w:lineRule="exact"/>
            </w:pPr>
            <w:r>
              <w:t>MMDetection</w:t>
            </w:r>
          </w:p>
        </w:tc>
        <w:tc>
          <w:tcPr>
            <w:tcW w:w="4600" w:type="dxa"/>
          </w:tcPr>
          <w:p w14:paraId="7FC8DA92">
            <w:pPr>
              <w:spacing w:line="240" w:lineRule="exact"/>
            </w:pPr>
            <w:r>
              <w:rPr>
                <w:rFonts w:hint="eastAsia"/>
              </w:rPr>
              <w:t>通用目标检测工具箱。支持从经典到前沿的数十种检测模型(Faster R-CNN、DETR、YOLOX 等</w:t>
            </w:r>
            <w:r>
              <w:t>)</w:t>
            </w:r>
          </w:p>
        </w:tc>
        <w:tc>
          <w:tcPr>
            <w:tcW w:w="1977" w:type="dxa"/>
          </w:tcPr>
          <w:p w14:paraId="19A83339">
            <w:pPr>
              <w:spacing w:line="240" w:lineRule="exact"/>
            </w:pPr>
            <w:r>
              <w:t>原生支持昇腾NPU</w:t>
            </w:r>
          </w:p>
        </w:tc>
      </w:tr>
      <w:tr w14:paraId="4DBCE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1EAB7453">
            <w:pPr>
              <w:spacing w:line="240" w:lineRule="exact"/>
            </w:pPr>
            <w:r>
              <w:t>mmrotate</w:t>
            </w:r>
          </w:p>
        </w:tc>
        <w:tc>
          <w:tcPr>
            <w:tcW w:w="4600" w:type="dxa"/>
          </w:tcPr>
          <w:p w14:paraId="0921CD5E">
            <w:pPr>
              <w:spacing w:line="240" w:lineRule="exact"/>
            </w:pPr>
            <w:r>
              <w:rPr>
                <w:rFonts w:hint="eastAsia"/>
              </w:rPr>
              <w:t>旋转目标检测工具箱。解决通用检测器（如MMDetection）在处理任意方向物体时的局限性</w:t>
            </w:r>
          </w:p>
        </w:tc>
        <w:tc>
          <w:tcPr>
            <w:tcW w:w="1977" w:type="dxa"/>
          </w:tcPr>
          <w:p w14:paraId="49E22C39">
            <w:pPr>
              <w:spacing w:line="240" w:lineRule="exact"/>
            </w:pPr>
          </w:p>
        </w:tc>
      </w:tr>
      <w:tr w14:paraId="3CDF8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7F11ABA1">
            <w:pPr>
              <w:spacing w:line="240" w:lineRule="exact"/>
            </w:pPr>
            <w:r>
              <w:t>mmcls</w:t>
            </w:r>
          </w:p>
        </w:tc>
        <w:tc>
          <w:tcPr>
            <w:tcW w:w="4600" w:type="dxa"/>
          </w:tcPr>
          <w:p w14:paraId="085386B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>专门用于</w:t>
            </w:r>
            <w:r>
              <w:rPr>
                <w:rFonts w:hint="default"/>
              </w:rPr>
              <w:t>图像分类的开源工具箱</w:t>
            </w:r>
          </w:p>
        </w:tc>
        <w:tc>
          <w:tcPr>
            <w:tcW w:w="1977" w:type="dxa"/>
          </w:tcPr>
          <w:p w14:paraId="369E7415">
            <w:pPr>
              <w:spacing w:line="240" w:lineRule="exact"/>
            </w:pPr>
            <w:r>
              <w:t>原生支持昇腾NPU</w:t>
            </w:r>
          </w:p>
        </w:tc>
      </w:tr>
      <w:tr w14:paraId="446B5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7F7354A8">
            <w:pPr>
              <w:spacing w:line="240" w:lineRule="exact"/>
            </w:pPr>
            <w:r>
              <w:t>mmsegmentation</w:t>
            </w:r>
          </w:p>
        </w:tc>
        <w:tc>
          <w:tcPr>
            <w:tcW w:w="4600" w:type="dxa"/>
          </w:tcPr>
          <w:p w14:paraId="16AC3AA9">
            <w:pPr>
              <w:spacing w:line="240" w:lineRule="exact"/>
            </w:pPr>
            <w:r>
              <w:rPr>
                <w:rFonts w:hint="eastAsia"/>
              </w:rPr>
              <w:t>语义分割工具箱。实现像素级的场景理解。</w:t>
            </w:r>
          </w:p>
        </w:tc>
        <w:tc>
          <w:tcPr>
            <w:tcW w:w="1977" w:type="dxa"/>
          </w:tcPr>
          <w:p w14:paraId="113EE5AE">
            <w:pPr>
              <w:spacing w:line="240" w:lineRule="exact"/>
            </w:pPr>
          </w:p>
        </w:tc>
      </w:tr>
      <w:tr w14:paraId="20DF9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70239A3C">
            <w:pPr>
              <w:spacing w:line="240" w:lineRule="exact"/>
            </w:pPr>
            <w:r>
              <w:t>mmpretrain</w:t>
            </w:r>
          </w:p>
        </w:tc>
        <w:tc>
          <w:tcPr>
            <w:tcW w:w="4600" w:type="dxa"/>
          </w:tcPr>
          <w:p w14:paraId="670B0625">
            <w:pPr>
              <w:spacing w:line="240" w:lineRule="exact"/>
            </w:pPr>
            <w:r>
              <w:rPr>
                <w:rFonts w:hint="eastAsia"/>
              </w:rPr>
              <w:t>模型底座工厂，提供各种预训练主干网络（Backbone）和预训练策略。</w:t>
            </w:r>
          </w:p>
        </w:tc>
        <w:tc>
          <w:tcPr>
            <w:tcW w:w="1977" w:type="dxa"/>
          </w:tcPr>
          <w:p w14:paraId="56E80048">
            <w:pPr>
              <w:spacing w:line="240" w:lineRule="exact"/>
            </w:pPr>
          </w:p>
        </w:tc>
      </w:tr>
      <w:tr w14:paraId="198D7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4D3F208D">
            <w:pPr>
              <w:spacing w:line="240" w:lineRule="exact"/>
            </w:pPr>
            <w:r>
              <w:t>mmrazor</w:t>
            </w:r>
          </w:p>
        </w:tc>
        <w:tc>
          <w:tcPr>
            <w:tcW w:w="4600" w:type="dxa"/>
          </w:tcPr>
          <w:p w14:paraId="587F1FC1">
            <w:pPr>
              <w:spacing w:line="240" w:lineRule="exact"/>
            </w:pPr>
            <w:r>
              <w:rPr>
                <w:rFonts w:hint="eastAsia"/>
              </w:rPr>
              <w:t>模型压缩与 AutoML 工具箱。对已有的模型进行性能优化：模型压缩、结构搜索。</w:t>
            </w:r>
          </w:p>
        </w:tc>
        <w:tc>
          <w:tcPr>
            <w:tcW w:w="1977" w:type="dxa"/>
          </w:tcPr>
          <w:p w14:paraId="0336A8AF">
            <w:pPr>
              <w:spacing w:line="240" w:lineRule="exact"/>
            </w:pPr>
          </w:p>
        </w:tc>
      </w:tr>
      <w:tr w14:paraId="2A39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258220EB">
            <w:pPr>
              <w:spacing w:line="240" w:lineRule="exact"/>
            </w:pPr>
            <w:r>
              <w:rPr>
                <w:rFonts w:hint="eastAsia"/>
              </w:rPr>
              <w:t>mmdeploy</w:t>
            </w:r>
          </w:p>
        </w:tc>
        <w:tc>
          <w:tcPr>
            <w:tcW w:w="4600" w:type="dxa"/>
          </w:tcPr>
          <w:p w14:paraId="2D328076">
            <w:pPr>
              <w:spacing w:line="240" w:lineRule="exact"/>
            </w:pPr>
            <w:r>
              <w:rPr>
                <w:rFonts w:hint="eastAsia"/>
              </w:rPr>
              <w:t>模型部署工具（转ONNX/TensorRT等）</w:t>
            </w:r>
          </w:p>
        </w:tc>
        <w:tc>
          <w:tcPr>
            <w:tcW w:w="1977" w:type="dxa"/>
          </w:tcPr>
          <w:p w14:paraId="5F84DDD5">
            <w:pPr>
              <w:spacing w:line="240" w:lineRule="exact"/>
            </w:pPr>
            <w:r>
              <w:rPr>
                <w:rFonts w:hint="eastAsia"/>
              </w:rPr>
              <w:t>对NPU导出可能需要自定义后端</w:t>
            </w:r>
          </w:p>
        </w:tc>
      </w:tr>
    </w:tbl>
    <w:p w14:paraId="2FA07A33">
      <w:pPr>
        <w:pStyle w:val="2"/>
        <w:ind w:firstLine="480" w:firstLineChars="200"/>
        <w:rPr>
          <w:sz w:val="24"/>
        </w:rPr>
      </w:pPr>
    </w:p>
    <w:p w14:paraId="70224C4D">
      <w:pPr>
        <w:pStyle w:val="2"/>
        <w:ind w:firstLine="480" w:firstLineChars="200"/>
        <w:rPr>
          <w:sz w:val="24"/>
        </w:rPr>
      </w:pPr>
      <w:r>
        <w:rPr>
          <w:rFonts w:hint="eastAsia"/>
          <w:sz w:val="24"/>
        </w:rPr>
        <w:t>其他深度学习核心算法库：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4675"/>
        <w:gridCol w:w="1910"/>
      </w:tblGrid>
      <w:tr w14:paraId="025B3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75" w:type="dxa"/>
          </w:tcPr>
          <w:p w14:paraId="1B63DFD6">
            <w:pPr>
              <w:spacing w:line="240" w:lineRule="exact"/>
            </w:pPr>
            <w:r>
              <w:rPr>
                <w:rFonts w:hint="eastAsia"/>
              </w:rPr>
              <w:t>名称</w:t>
            </w:r>
          </w:p>
        </w:tc>
        <w:tc>
          <w:tcPr>
            <w:tcW w:w="4675" w:type="dxa"/>
          </w:tcPr>
          <w:p w14:paraId="33F404F4">
            <w:pPr>
              <w:spacing w:line="240" w:lineRule="exact"/>
            </w:pPr>
            <w:r>
              <w:rPr>
                <w:rFonts w:hint="eastAsia"/>
              </w:rPr>
              <w:t>功能</w:t>
            </w:r>
          </w:p>
        </w:tc>
        <w:tc>
          <w:tcPr>
            <w:tcW w:w="1910" w:type="dxa"/>
          </w:tcPr>
          <w:p w14:paraId="488A11A3">
            <w:pPr>
              <w:spacing w:line="240" w:lineRule="exact"/>
            </w:pPr>
            <w:r>
              <w:rPr>
                <w:rFonts w:hint="eastAsia"/>
              </w:rPr>
              <w:t>备注</w:t>
            </w:r>
          </w:p>
        </w:tc>
      </w:tr>
      <w:tr w14:paraId="7D700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6BA14B6C">
            <w:pPr>
              <w:spacing w:line="240" w:lineRule="exact"/>
            </w:pPr>
            <w:r>
              <w:t>ultralytics</w:t>
            </w:r>
          </w:p>
        </w:tc>
        <w:tc>
          <w:tcPr>
            <w:tcW w:w="4675" w:type="dxa"/>
          </w:tcPr>
          <w:p w14:paraId="0BD1F19F">
            <w:pPr>
              <w:spacing w:line="240" w:lineRule="exact"/>
            </w:pPr>
            <w:r>
              <w:rPr>
                <w:rFonts w:hint="eastAsia"/>
              </w:rPr>
              <w:t>一站式YOLO框架。目标检测、实例分割、姿态估计、分类、多目标跟踪。</w:t>
            </w:r>
          </w:p>
        </w:tc>
        <w:tc>
          <w:tcPr>
            <w:tcW w:w="1910" w:type="dxa"/>
          </w:tcPr>
          <w:p w14:paraId="67D51FDA">
            <w:pPr>
              <w:spacing w:line="240" w:lineRule="exact"/>
            </w:pPr>
            <w:r>
              <w:rPr>
                <w:rFonts w:hint="eastAsia"/>
              </w:rPr>
              <w:t>调用torch，支持NPU只需修改`.to('npu')`</w:t>
            </w:r>
          </w:p>
        </w:tc>
      </w:tr>
      <w:tr w14:paraId="00BAC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58DA68B2">
            <w:pPr>
              <w:spacing w:line="240" w:lineRule="exact"/>
            </w:pPr>
            <w:r>
              <w:t>open-CD</w:t>
            </w:r>
          </w:p>
        </w:tc>
        <w:tc>
          <w:tcPr>
            <w:tcW w:w="4675" w:type="dxa"/>
          </w:tcPr>
          <w:p w14:paraId="3497A37B">
            <w:pPr>
              <w:spacing w:line="240" w:lineRule="exact"/>
            </w:pPr>
            <w:r>
              <w:rPr>
                <w:rFonts w:hint="eastAsia"/>
              </w:rPr>
              <w:t>遥感变化检测工具箱。比较同一地点、不同时相的图像，自动找出“哪里发生了变化”</w:t>
            </w:r>
          </w:p>
        </w:tc>
        <w:tc>
          <w:tcPr>
            <w:tcW w:w="1910" w:type="dxa"/>
          </w:tcPr>
          <w:p w14:paraId="5AE8C18F">
            <w:pPr>
              <w:spacing w:line="240" w:lineRule="exact"/>
            </w:pPr>
            <w:r>
              <w:rPr>
                <w:rFonts w:hint="eastAsia"/>
              </w:rPr>
              <w:t>基于PyTorch，需适配</w:t>
            </w:r>
          </w:p>
        </w:tc>
      </w:tr>
      <w:tr w14:paraId="02755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04AA034A">
            <w:pPr>
              <w:spacing w:line="240" w:lineRule="exact"/>
            </w:pPr>
            <w:r>
              <w:t>BIT-CD</w:t>
            </w:r>
            <w:r>
              <w:rPr>
                <w:rFonts w:hint="eastAsia"/>
              </w:rPr>
              <w:t>算法模型</w:t>
            </w:r>
          </w:p>
        </w:tc>
        <w:tc>
          <w:tcPr>
            <w:tcW w:w="4675" w:type="dxa"/>
          </w:tcPr>
          <w:p w14:paraId="2A21BB14">
            <w:pPr>
              <w:spacing w:line="240" w:lineRule="exact"/>
            </w:pPr>
            <w:r>
              <w:rPr>
                <w:rFonts w:hint="eastAsia"/>
              </w:rPr>
              <w:t>将 Transformer 架构引入遥感变化检测任务</w:t>
            </w:r>
          </w:p>
        </w:tc>
        <w:tc>
          <w:tcPr>
            <w:tcW w:w="1910" w:type="dxa"/>
          </w:tcPr>
          <w:p w14:paraId="68C3A94E">
            <w:pPr>
              <w:spacing w:line="240" w:lineRule="exact"/>
            </w:pPr>
          </w:p>
        </w:tc>
      </w:tr>
      <w:tr w14:paraId="19CFD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25F78067">
            <w:pPr>
              <w:spacing w:line="240" w:lineRule="exact"/>
            </w:pPr>
            <w:r>
              <w:rPr>
                <w:rFonts w:hint="eastAsia"/>
              </w:rPr>
              <w:t>p</w:t>
            </w:r>
            <w:r>
              <w:t>ycocotools</w:t>
            </w:r>
          </w:p>
        </w:tc>
        <w:tc>
          <w:tcPr>
            <w:tcW w:w="4675" w:type="dxa"/>
          </w:tcPr>
          <w:p w14:paraId="568DB4E9">
            <w:pPr>
              <w:spacing w:line="240" w:lineRule="exact"/>
            </w:pPr>
            <w:r>
              <w:rPr>
                <w:rFonts w:hint="eastAsia"/>
              </w:rPr>
              <w:t>COCO 数据集的官方工具包，用于加载标注数据、计算目标检测和分割的评估指标</w:t>
            </w:r>
          </w:p>
        </w:tc>
        <w:tc>
          <w:tcPr>
            <w:tcW w:w="1910" w:type="dxa"/>
          </w:tcPr>
          <w:p w14:paraId="79AD7693">
            <w:pPr>
              <w:spacing w:line="240" w:lineRule="exact"/>
            </w:pPr>
          </w:p>
        </w:tc>
      </w:tr>
    </w:tbl>
    <w:p w14:paraId="34461588">
      <w:pPr>
        <w:pStyle w:val="2"/>
        <w:ind w:firstLine="480" w:firstLineChars="200"/>
        <w:rPr>
          <w:sz w:val="24"/>
        </w:rPr>
      </w:pPr>
    </w:p>
    <w:p w14:paraId="7E72EB61">
      <w:pPr>
        <w:pStyle w:val="2"/>
        <w:ind w:firstLine="480" w:firstLineChars="200"/>
        <w:rPr>
          <w:sz w:val="24"/>
        </w:rPr>
      </w:pPr>
      <w:r>
        <w:rPr>
          <w:rFonts w:hint="eastAsia"/>
          <w:sz w:val="24"/>
          <w:highlight w:val="yellow"/>
        </w:rPr>
        <w:t>数据标注与几何/空间处理库：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5787"/>
        <w:gridCol w:w="825"/>
      </w:tblGrid>
      <w:tr w14:paraId="38178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1A419645">
            <w:pPr>
              <w:spacing w:line="240" w:lineRule="exact"/>
            </w:pPr>
            <w:r>
              <w:rPr>
                <w:rFonts w:hint="eastAsia"/>
              </w:rPr>
              <w:t>名称</w:t>
            </w:r>
          </w:p>
        </w:tc>
        <w:tc>
          <w:tcPr>
            <w:tcW w:w="5787" w:type="dxa"/>
          </w:tcPr>
          <w:p w14:paraId="5ADEB3A3">
            <w:pPr>
              <w:spacing w:line="240" w:lineRule="exact"/>
            </w:pPr>
            <w:r>
              <w:rPr>
                <w:rFonts w:hint="eastAsia"/>
              </w:rPr>
              <w:t>功能</w:t>
            </w:r>
          </w:p>
        </w:tc>
        <w:tc>
          <w:tcPr>
            <w:tcW w:w="825" w:type="dxa"/>
          </w:tcPr>
          <w:p w14:paraId="312E440A">
            <w:pPr>
              <w:spacing w:line="240" w:lineRule="exact"/>
            </w:pPr>
            <w:r>
              <w:rPr>
                <w:rFonts w:hint="eastAsia"/>
              </w:rPr>
              <w:t>备注</w:t>
            </w:r>
          </w:p>
        </w:tc>
      </w:tr>
      <w:tr w14:paraId="4D733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7EC9871A">
            <w:pPr>
              <w:spacing w:line="240" w:lineRule="exact"/>
            </w:pPr>
            <w:r>
              <w:rPr>
                <w:rFonts w:hint="eastAsia"/>
              </w:rPr>
              <w:t>x</w:t>
            </w:r>
            <w:r>
              <w:t>mltodict</w:t>
            </w:r>
          </w:p>
        </w:tc>
        <w:tc>
          <w:tcPr>
            <w:tcW w:w="5787" w:type="dxa"/>
          </w:tcPr>
          <w:p w14:paraId="294136E2">
            <w:pPr>
              <w:spacing w:line="240" w:lineRule="exact"/>
            </w:pPr>
            <w:r>
              <w:rPr>
                <w:rFonts w:hint="eastAsia"/>
              </w:rPr>
              <w:t>将 XML 文档转换为 Python 字典，方便解析和处理 XML 数据。</w:t>
            </w:r>
          </w:p>
        </w:tc>
        <w:tc>
          <w:tcPr>
            <w:tcW w:w="825" w:type="dxa"/>
          </w:tcPr>
          <w:p w14:paraId="0D12D8C8">
            <w:pPr>
              <w:spacing w:line="240" w:lineRule="exact"/>
            </w:pPr>
          </w:p>
        </w:tc>
      </w:tr>
      <w:tr w14:paraId="64CC4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0254790F">
            <w:pPr>
              <w:spacing w:line="240" w:lineRule="exact"/>
            </w:pPr>
            <w:r>
              <w:rPr>
                <w:rFonts w:hint="eastAsia"/>
              </w:rPr>
              <w:t>s</w:t>
            </w:r>
            <w:r>
              <w:t>hapely</w:t>
            </w:r>
          </w:p>
        </w:tc>
        <w:tc>
          <w:tcPr>
            <w:tcW w:w="5787" w:type="dxa"/>
          </w:tcPr>
          <w:p w14:paraId="73F69C93">
            <w:pPr>
              <w:spacing w:line="240" w:lineRule="exact"/>
            </w:pPr>
            <w:r>
              <w:rPr>
                <w:rFonts w:hint="eastAsia"/>
              </w:rPr>
              <w:t>用于操作和分析平面几何对象（点、线、多边形），常用于地理空间数据处理。</w:t>
            </w:r>
          </w:p>
        </w:tc>
        <w:tc>
          <w:tcPr>
            <w:tcW w:w="825" w:type="dxa"/>
          </w:tcPr>
          <w:p w14:paraId="5DA9B8F7">
            <w:pPr>
              <w:spacing w:line="240" w:lineRule="exact"/>
            </w:pPr>
          </w:p>
        </w:tc>
      </w:tr>
      <w:tr w14:paraId="43E89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27871305">
            <w:pPr>
              <w:spacing w:line="240" w:lineRule="exact"/>
            </w:pPr>
            <w:r>
              <w:rPr>
                <w:rFonts w:hint="eastAsia"/>
              </w:rPr>
              <w:t>e</w:t>
            </w:r>
            <w:r>
              <w:t>t-xmlfile</w:t>
            </w:r>
          </w:p>
        </w:tc>
        <w:tc>
          <w:tcPr>
            <w:tcW w:w="5787" w:type="dxa"/>
          </w:tcPr>
          <w:p w14:paraId="09C262C4">
            <w:pPr>
              <w:spacing w:line="240" w:lineRule="exact"/>
            </w:pPr>
            <w:r>
              <w:rPr>
                <w:rFonts w:hint="eastAsia"/>
              </w:rPr>
              <w:t>一个用于高效读写大型 XML 文件的库，是 openpyxl处理 Excel 文件的底层依赖。</w:t>
            </w:r>
          </w:p>
        </w:tc>
        <w:tc>
          <w:tcPr>
            <w:tcW w:w="825" w:type="dxa"/>
          </w:tcPr>
          <w:p w14:paraId="683F2FDE">
            <w:pPr>
              <w:spacing w:line="240" w:lineRule="exact"/>
            </w:pPr>
          </w:p>
        </w:tc>
      </w:tr>
      <w:tr w14:paraId="124A7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6C838380">
            <w:pPr>
              <w:spacing w:line="240" w:lineRule="exact"/>
            </w:pPr>
            <w:r>
              <w:rPr>
                <w:rFonts w:hint="eastAsia"/>
              </w:rPr>
              <w:t>j</w:t>
            </w:r>
            <w:r>
              <w:t>dcal</w:t>
            </w:r>
          </w:p>
        </w:tc>
        <w:tc>
          <w:tcPr>
            <w:tcW w:w="5787" w:type="dxa"/>
          </w:tcPr>
          <w:p w14:paraId="6B294B2D">
            <w:pPr>
              <w:spacing w:line="240" w:lineRule="exact"/>
            </w:pPr>
            <w:r>
              <w:rPr>
                <w:rFonts w:hint="eastAsia"/>
              </w:rPr>
              <w:t>提供 Julian Day（儒略日）与公历日期之间的转换功能。</w:t>
            </w:r>
          </w:p>
        </w:tc>
        <w:tc>
          <w:tcPr>
            <w:tcW w:w="825" w:type="dxa"/>
          </w:tcPr>
          <w:p w14:paraId="3C190136">
            <w:pPr>
              <w:spacing w:line="240" w:lineRule="exact"/>
            </w:pPr>
          </w:p>
        </w:tc>
      </w:tr>
      <w:tr w14:paraId="259AE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49BC26F9">
            <w:pPr>
              <w:spacing w:line="240" w:lineRule="exact"/>
            </w:pPr>
            <w:r>
              <w:rPr>
                <w:rFonts w:hint="eastAsia"/>
              </w:rPr>
              <w:t>t</w:t>
            </w:r>
            <w:r>
              <w:t>erminaltables</w:t>
            </w:r>
          </w:p>
        </w:tc>
        <w:tc>
          <w:tcPr>
            <w:tcW w:w="5787" w:type="dxa"/>
          </w:tcPr>
          <w:p w14:paraId="3EBB0844">
            <w:pPr>
              <w:spacing w:line="240" w:lineRule="exact"/>
            </w:pPr>
            <w:r>
              <w:rPr>
                <w:rFonts w:hint="eastAsia"/>
              </w:rPr>
              <w:t>在终端绘制ASCII表格（可能用于日志展示）</w:t>
            </w:r>
          </w:p>
        </w:tc>
        <w:tc>
          <w:tcPr>
            <w:tcW w:w="825" w:type="dxa"/>
          </w:tcPr>
          <w:p w14:paraId="1604A23B">
            <w:pPr>
              <w:spacing w:line="240" w:lineRule="exact"/>
            </w:pPr>
          </w:p>
        </w:tc>
      </w:tr>
      <w:tr w14:paraId="6701C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7A120B00">
            <w:pPr>
              <w:spacing w:line="240" w:lineRule="exact"/>
            </w:pPr>
            <w:r>
              <w:rPr>
                <w:rFonts w:hint="eastAsia"/>
              </w:rPr>
              <w:t>o</w:t>
            </w:r>
            <w:r>
              <w:t>penpyxl</w:t>
            </w:r>
          </w:p>
        </w:tc>
        <w:tc>
          <w:tcPr>
            <w:tcW w:w="5787" w:type="dxa"/>
          </w:tcPr>
          <w:p w14:paraId="31F0C8CA">
            <w:pPr>
              <w:spacing w:line="240" w:lineRule="exact"/>
            </w:pPr>
            <w:r>
              <w:rPr>
                <w:rFonts w:hint="eastAsia"/>
              </w:rPr>
              <w:t>用于读写 Excel 2010 xlsx/xlsm/xltx/xltm 文件的库。</w:t>
            </w:r>
          </w:p>
        </w:tc>
        <w:tc>
          <w:tcPr>
            <w:tcW w:w="825" w:type="dxa"/>
          </w:tcPr>
          <w:p w14:paraId="50844C9D">
            <w:pPr>
              <w:spacing w:line="240" w:lineRule="exact"/>
            </w:pPr>
          </w:p>
        </w:tc>
      </w:tr>
      <w:tr w14:paraId="4F933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69BA3136">
            <w:pPr>
              <w:spacing w:line="240" w:lineRule="exact"/>
            </w:pPr>
            <w:r>
              <w:t>pyproj</w:t>
            </w:r>
          </w:p>
        </w:tc>
        <w:tc>
          <w:tcPr>
            <w:tcW w:w="5787" w:type="dxa"/>
          </w:tcPr>
          <w:p w14:paraId="004F55EB">
            <w:pPr>
              <w:spacing w:line="240" w:lineRule="exact"/>
            </w:pPr>
            <w:r>
              <w:rPr>
                <w:rFonts w:hint="eastAsia"/>
              </w:rPr>
              <w:t>用于执行地理空间坐标转换的库，是PROJ库的Python接口。</w:t>
            </w:r>
          </w:p>
        </w:tc>
        <w:tc>
          <w:tcPr>
            <w:tcW w:w="825" w:type="dxa"/>
          </w:tcPr>
          <w:p w14:paraId="5E933593">
            <w:pPr>
              <w:spacing w:line="240" w:lineRule="exact"/>
            </w:pPr>
          </w:p>
        </w:tc>
      </w:tr>
      <w:tr w14:paraId="60051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0E82964B">
            <w:pPr>
              <w:spacing w:line="2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pyshp</w:t>
            </w:r>
          </w:p>
        </w:tc>
        <w:tc>
          <w:tcPr>
            <w:tcW w:w="5787" w:type="dxa"/>
          </w:tcPr>
          <w:p w14:paraId="506EF4A0">
            <w:pPr>
              <w:spacing w:line="240" w:lineRule="exact"/>
              <w:rPr>
                <w:rFonts w:hint="eastAsia"/>
              </w:rPr>
            </w:pPr>
            <w:r>
              <w:rPr>
                <w:rFonts w:hint="default"/>
                <w:szCs w:val="28"/>
                <w:lang w:val="en-US" w:eastAsia="zh-CN"/>
              </w:rPr>
              <w:t>Shapefile 矢量数据读写</w:t>
            </w:r>
          </w:p>
        </w:tc>
        <w:tc>
          <w:tcPr>
            <w:tcW w:w="825" w:type="dxa"/>
          </w:tcPr>
          <w:p w14:paraId="138E219C">
            <w:pPr>
              <w:spacing w:line="240" w:lineRule="exact"/>
            </w:pPr>
          </w:p>
        </w:tc>
      </w:tr>
    </w:tbl>
    <w:p w14:paraId="30D67A78">
      <w:pPr>
        <w:pStyle w:val="2"/>
        <w:ind w:firstLine="480" w:firstLineChars="200"/>
        <w:rPr>
          <w:sz w:val="24"/>
        </w:rPr>
      </w:pPr>
    </w:p>
    <w:p w14:paraId="567965AE">
      <w:pPr>
        <w:pStyle w:val="2"/>
        <w:ind w:firstLine="480" w:firstLineChars="200"/>
        <w:rPr>
          <w:sz w:val="24"/>
        </w:rPr>
      </w:pPr>
      <w:r>
        <w:rPr>
          <w:rFonts w:hint="eastAsia"/>
          <w:sz w:val="24"/>
        </w:rPr>
        <w:t>其他科学计算与工具库：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5787"/>
        <w:gridCol w:w="832"/>
      </w:tblGrid>
      <w:tr w14:paraId="18646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2B44EEF2">
            <w:pPr>
              <w:spacing w:line="240" w:lineRule="exact"/>
            </w:pPr>
            <w:r>
              <w:rPr>
                <w:rFonts w:hint="eastAsia"/>
              </w:rPr>
              <w:t>名称</w:t>
            </w:r>
          </w:p>
        </w:tc>
        <w:tc>
          <w:tcPr>
            <w:tcW w:w="5787" w:type="dxa"/>
          </w:tcPr>
          <w:p w14:paraId="73C92A0F">
            <w:pPr>
              <w:spacing w:line="240" w:lineRule="exact"/>
            </w:pPr>
            <w:r>
              <w:rPr>
                <w:rFonts w:hint="eastAsia"/>
              </w:rPr>
              <w:t>功能</w:t>
            </w:r>
          </w:p>
        </w:tc>
        <w:tc>
          <w:tcPr>
            <w:tcW w:w="832" w:type="dxa"/>
          </w:tcPr>
          <w:p w14:paraId="2BC48034">
            <w:pPr>
              <w:spacing w:line="240" w:lineRule="exact"/>
            </w:pPr>
            <w:r>
              <w:rPr>
                <w:rFonts w:hint="eastAsia"/>
              </w:rPr>
              <w:t>版本</w:t>
            </w:r>
          </w:p>
        </w:tc>
      </w:tr>
      <w:tr w14:paraId="2F8CF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49B81002">
            <w:pPr>
              <w:spacing w:line="240" w:lineRule="exact"/>
            </w:pPr>
            <w:r>
              <w:rPr>
                <w:rFonts w:hint="eastAsia"/>
              </w:rPr>
              <w:t>as</w:t>
            </w:r>
            <w:r>
              <w:t>tunparse</w:t>
            </w:r>
          </w:p>
        </w:tc>
        <w:tc>
          <w:tcPr>
            <w:tcW w:w="5787" w:type="dxa"/>
          </w:tcPr>
          <w:p w14:paraId="28C59730">
            <w:pPr>
              <w:spacing w:line="240" w:lineRule="exact"/>
            </w:pPr>
            <w:r>
              <w:rPr>
                <w:rFonts w:hint="eastAsia"/>
              </w:rPr>
              <w:t>相当于编译器流水线中的“反编译器”，将 Python 的抽象语法树（AST）对象“反向转换”回可读的 Python 源代码字符串。</w:t>
            </w:r>
          </w:p>
        </w:tc>
        <w:tc>
          <w:tcPr>
            <w:tcW w:w="832" w:type="dxa"/>
          </w:tcPr>
          <w:p w14:paraId="6271104F">
            <w:pPr>
              <w:spacing w:line="240" w:lineRule="exact"/>
            </w:pPr>
          </w:p>
        </w:tc>
      </w:tr>
      <w:tr w14:paraId="680A7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4EACEBE6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cipy</w:t>
            </w:r>
          </w:p>
        </w:tc>
        <w:tc>
          <w:tcPr>
            <w:tcW w:w="5787" w:type="dxa"/>
          </w:tcPr>
          <w:p w14:paraId="06D629FC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>科学计算（数值积分、优化、稀疏矩阵等）</w:t>
            </w:r>
          </w:p>
        </w:tc>
        <w:tc>
          <w:tcPr>
            <w:tcW w:w="832" w:type="dxa"/>
          </w:tcPr>
          <w:p w14:paraId="1153BB07">
            <w:pPr>
              <w:spacing w:line="240" w:lineRule="exact"/>
            </w:pPr>
          </w:p>
        </w:tc>
      </w:tr>
      <w:tr w14:paraId="68185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 w14:paraId="58708968">
            <w:pPr>
              <w:spacing w:line="240" w:lineRule="exact"/>
            </w:pPr>
            <w:r>
              <w:rPr>
                <w:rFonts w:hint="eastAsia"/>
              </w:rPr>
              <w:t>n</w:t>
            </w:r>
            <w:r>
              <w:t>etworkx</w:t>
            </w:r>
          </w:p>
        </w:tc>
        <w:tc>
          <w:tcPr>
            <w:tcW w:w="5787" w:type="dxa"/>
          </w:tcPr>
          <w:p w14:paraId="44D82EDF">
            <w:pPr>
              <w:spacing w:line="240" w:lineRule="exact"/>
            </w:pPr>
            <w:r>
              <w:rPr>
                <w:rFonts w:hint="eastAsia"/>
              </w:rPr>
              <w:t>用于创建、操作和研究复杂网络结构的图论库。</w:t>
            </w:r>
          </w:p>
        </w:tc>
        <w:tc>
          <w:tcPr>
            <w:tcW w:w="832" w:type="dxa"/>
          </w:tcPr>
          <w:p w14:paraId="1E5EF05C">
            <w:pPr>
              <w:spacing w:line="240" w:lineRule="exact"/>
            </w:pPr>
          </w:p>
        </w:tc>
      </w:tr>
    </w:tbl>
    <w:p w14:paraId="383C52FB">
      <w:pPr>
        <w:pStyle w:val="2"/>
      </w:pPr>
    </w:p>
    <w:p w14:paraId="28CEA80E">
      <w:pPr>
        <w:pStyle w:val="2"/>
        <w:ind w:firstLine="480" w:firstLineChars="200"/>
        <w:rPr>
          <w:sz w:val="24"/>
        </w:rPr>
      </w:pPr>
    </w:p>
    <w:p w14:paraId="3C4B667D">
      <w:pPr>
        <w:spacing w:line="240" w:lineRule="exact"/>
        <w:ind w:firstLine="480" w:firstLineChars="200"/>
      </w:pPr>
      <w:r>
        <w:rPr>
          <w:rFonts w:hint="eastAsia"/>
          <w:sz w:val="24"/>
          <w:highlight w:val="yellow"/>
        </w:rPr>
        <w:t>并行编程框架：</w:t>
      </w:r>
      <w:r>
        <w:rPr>
          <w:rFonts w:hint="eastAsia"/>
        </w:rPr>
        <w:t>NCCL (NVIDIA Collective</w:t>
      </w:r>
      <w:r>
        <w:t xml:space="preserve"> Communications Library),</w:t>
      </w:r>
      <w:r>
        <w:rPr>
          <w:sz w:val="24"/>
        </w:rPr>
        <w:t xml:space="preserve"> HCCL(</w:t>
      </w:r>
      <w:r>
        <w:rPr>
          <w:rFonts w:hint="eastAsia"/>
        </w:rPr>
        <w:t xml:space="preserve"> Huawei Collective Communication</w:t>
      </w:r>
      <w:r>
        <w:t xml:space="preserve"> Library),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"/>
        <w:gridCol w:w="5272"/>
        <w:gridCol w:w="2010"/>
      </w:tblGrid>
      <w:tr w14:paraId="3FE9C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</w:tcPr>
          <w:p w14:paraId="3B613CD6">
            <w:pPr>
              <w:spacing w:line="240" w:lineRule="exact"/>
            </w:pPr>
            <w:r>
              <w:rPr>
                <w:rFonts w:hint="eastAsia"/>
              </w:rPr>
              <w:t>名称</w:t>
            </w:r>
          </w:p>
        </w:tc>
        <w:tc>
          <w:tcPr>
            <w:tcW w:w="5272" w:type="dxa"/>
          </w:tcPr>
          <w:p w14:paraId="147BBC6E">
            <w:pPr>
              <w:spacing w:line="240" w:lineRule="exact"/>
            </w:pPr>
            <w:r>
              <w:rPr>
                <w:rFonts w:hint="eastAsia"/>
              </w:rPr>
              <w:t>功能</w:t>
            </w:r>
          </w:p>
        </w:tc>
        <w:tc>
          <w:tcPr>
            <w:tcW w:w="2010" w:type="dxa"/>
          </w:tcPr>
          <w:p w14:paraId="4DF16488">
            <w:pPr>
              <w:spacing w:line="240" w:lineRule="exact"/>
            </w:pPr>
            <w:r>
              <w:rPr>
                <w:rFonts w:hint="eastAsia"/>
              </w:rPr>
              <w:t>备注</w:t>
            </w:r>
          </w:p>
        </w:tc>
      </w:tr>
      <w:tr w14:paraId="768A8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</w:tcPr>
          <w:p w14:paraId="7F4CFDAA">
            <w:r>
              <w:rPr>
                <w:rFonts w:hint="eastAsia"/>
              </w:rPr>
              <w:t>NCCL</w:t>
            </w:r>
          </w:p>
        </w:tc>
        <w:tc>
          <w:tcPr>
            <w:tcW w:w="5272" w:type="dxa"/>
          </w:tcPr>
          <w:p w14:paraId="5FA6F47E">
            <w:pPr>
              <w:spacing w:line="240" w:lineRule="exact"/>
            </w:pPr>
            <w:r>
              <w:rPr>
                <w:rFonts w:hint="eastAsia"/>
              </w:rPr>
              <w:t>针对NCCL（NVIDIA Collective Communications Library）的扩展工具，用于优化多GPU或多节点的分布式深度学习训练通信。</w:t>
            </w:r>
          </w:p>
        </w:tc>
        <w:tc>
          <w:tcPr>
            <w:tcW w:w="2010" w:type="dxa"/>
          </w:tcPr>
          <w:p w14:paraId="7FC21C63">
            <w:pPr>
              <w:spacing w:line="240" w:lineRule="exact"/>
            </w:pPr>
          </w:p>
        </w:tc>
      </w:tr>
      <w:tr w14:paraId="08DE6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</w:tcPr>
          <w:p w14:paraId="5878D4E6">
            <w:r>
              <w:t>HCCL</w:t>
            </w:r>
          </w:p>
        </w:tc>
        <w:tc>
          <w:tcPr>
            <w:tcW w:w="5272" w:type="dxa"/>
          </w:tcPr>
          <w:p w14:paraId="6B4CFCBE">
            <w:r>
              <w:rPr>
                <w:rFonts w:hint="eastAsia"/>
              </w:rPr>
              <w:t>华为生态的多卡通信库，对标NCCL，用于多卡分布式训练。</w:t>
            </w:r>
          </w:p>
        </w:tc>
        <w:tc>
          <w:tcPr>
            <w:tcW w:w="2010" w:type="dxa"/>
          </w:tcPr>
          <w:p w14:paraId="4EE80AAF">
            <w:r>
              <w:rPr>
                <w:rFonts w:hint="eastAsia"/>
              </w:rPr>
              <w:t>华为C</w:t>
            </w:r>
            <w:r>
              <w:t>ANN</w:t>
            </w:r>
            <w:r>
              <w:rPr>
                <w:rFonts w:hint="eastAsia"/>
              </w:rPr>
              <w:t>自带</w:t>
            </w:r>
          </w:p>
        </w:tc>
      </w:tr>
      <w:tr w14:paraId="35520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shd w:val="clear" w:color="auto" w:fill="auto"/>
            <w:vAlign w:val="top"/>
          </w:tcPr>
          <w:p w14:paraId="4F9DF4DC">
            <w:pPr>
              <w:spacing w:line="240" w:lineRule="exact"/>
              <w:rPr>
                <w:rFonts w:hint="eastAsia" w:ascii="Times New Roman" w:hAnsi="Times New Roman" w:eastAsia="宋体" w:cs="Times New Roman"/>
                <w:kern w:val="2"/>
                <w:sz w:val="21"/>
                <w:szCs w:val="28"/>
                <w:lang w:val="en-US" w:eastAsia="zh-CN" w:bidi="ar-SA"/>
              </w:rPr>
            </w:pPr>
            <w:r>
              <w:rPr>
                <w:rFonts w:hint="default"/>
                <w:szCs w:val="28"/>
                <w:lang w:val="en-US" w:eastAsia="zh-CN"/>
              </w:rPr>
              <w:t>horovod</w:t>
            </w:r>
          </w:p>
        </w:tc>
        <w:tc>
          <w:tcPr>
            <w:tcW w:w="5272" w:type="dxa"/>
            <w:shd w:val="clear" w:color="auto" w:fill="auto"/>
            <w:vAlign w:val="top"/>
          </w:tcPr>
          <w:p w14:paraId="08EC826E">
            <w:pPr>
              <w:spacing w:line="240" w:lineRule="exact"/>
              <w:rPr>
                <w:rFonts w:hint="eastAsia" w:ascii="Times New Roman" w:hAnsi="Times New Roman" w:eastAsia="宋体" w:cs="Times New Roman"/>
                <w:kern w:val="2"/>
                <w:sz w:val="21"/>
                <w:szCs w:val="28"/>
                <w:lang w:val="en-US" w:eastAsia="zh-CN" w:bidi="ar-SA"/>
              </w:rPr>
            </w:pPr>
            <w:r>
              <w:rPr>
                <w:rFonts w:hint="default"/>
                <w:szCs w:val="28"/>
                <w:lang w:val="en-US" w:eastAsia="zh-CN"/>
              </w:rPr>
              <w:t>分布式训练框架（需替换后端）</w:t>
            </w:r>
          </w:p>
        </w:tc>
        <w:tc>
          <w:tcPr>
            <w:tcW w:w="2010" w:type="dxa"/>
            <w:shd w:val="clear" w:color="auto" w:fill="auto"/>
            <w:vAlign w:val="top"/>
          </w:tcPr>
          <w:p w14:paraId="1824AE6E">
            <w:pPr>
              <w:spacing w:line="240" w:lineRule="exact"/>
              <w:rPr>
                <w:rFonts w:hint="eastAsia" w:ascii="Times New Roman" w:hAnsi="Times New Roman" w:eastAsia="宋体" w:cs="Times New Roman"/>
                <w:kern w:val="2"/>
                <w:sz w:val="21"/>
                <w:szCs w:val="28"/>
                <w:lang w:val="en-US" w:eastAsia="zh-CN" w:bidi="ar-SA"/>
              </w:rPr>
            </w:pPr>
            <w:r>
              <w:rPr>
                <w:rFonts w:hint="default"/>
                <w:szCs w:val="28"/>
                <w:lang w:val="en-US" w:eastAsia="zh-CN"/>
              </w:rPr>
              <w:t>需改用 HCCL</w:t>
            </w:r>
          </w:p>
        </w:tc>
      </w:tr>
      <w:tr w14:paraId="3167D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078" w:type="dxa"/>
            <w:shd w:val="clear" w:color="auto" w:fill="auto"/>
            <w:vAlign w:val="top"/>
          </w:tcPr>
          <w:p w14:paraId="5CB63996">
            <w:pPr>
              <w:spacing w:line="240" w:lineRule="exact"/>
              <w:rPr>
                <w:rFonts w:hint="default"/>
                <w:szCs w:val="28"/>
                <w:lang w:val="en-US" w:eastAsia="zh-CN"/>
              </w:rPr>
            </w:pPr>
            <w:r>
              <w:rPr>
                <w:rFonts w:hint="default"/>
                <w:szCs w:val="28"/>
                <w:lang w:val="en-US" w:eastAsia="zh-CN"/>
              </w:rPr>
              <w:t>threading</w:t>
            </w:r>
          </w:p>
        </w:tc>
        <w:tc>
          <w:tcPr>
            <w:tcW w:w="5272" w:type="dxa"/>
            <w:shd w:val="clear" w:color="auto" w:fill="auto"/>
            <w:vAlign w:val="top"/>
          </w:tcPr>
          <w:p w14:paraId="16274FE0">
            <w:pPr>
              <w:spacing w:line="240" w:lineRule="exact"/>
              <w:rPr>
                <w:rFonts w:hint="default"/>
                <w:szCs w:val="28"/>
                <w:lang w:val="en-US" w:eastAsia="zh-CN"/>
              </w:rPr>
            </w:pPr>
            <w:r>
              <w:rPr>
                <w:rFonts w:hint="default"/>
                <w:szCs w:val="28"/>
                <w:lang w:val="en-US" w:eastAsia="zh-CN"/>
              </w:rPr>
              <w:t>多线程并发</w:t>
            </w:r>
          </w:p>
        </w:tc>
        <w:tc>
          <w:tcPr>
            <w:tcW w:w="2010" w:type="dxa"/>
            <w:shd w:val="clear" w:color="auto" w:fill="auto"/>
            <w:vAlign w:val="top"/>
          </w:tcPr>
          <w:p w14:paraId="51387B73">
            <w:pPr>
              <w:spacing w:line="240" w:lineRule="exact"/>
              <w:rPr>
                <w:rFonts w:hint="default"/>
                <w:szCs w:val="28"/>
                <w:lang w:val="en-US" w:eastAsia="zh-CN"/>
              </w:rPr>
            </w:pPr>
            <w:r>
              <w:rPr>
                <w:rFonts w:hint="default"/>
                <w:szCs w:val="28"/>
                <w:lang w:val="en-US" w:eastAsia="zh-CN"/>
              </w:rPr>
              <w:t>Python 标准库</w:t>
            </w:r>
          </w:p>
        </w:tc>
      </w:tr>
    </w:tbl>
    <w:p w14:paraId="40A19C8E">
      <w:pPr>
        <w:pStyle w:val="2"/>
        <w:ind w:firstLine="480" w:firstLineChars="200"/>
        <w:rPr>
          <w:sz w:val="24"/>
        </w:rPr>
      </w:pPr>
    </w:p>
    <w:p w14:paraId="7E9AC035">
      <w:pPr>
        <w:pStyle w:val="2"/>
        <w:ind w:firstLine="480" w:firstLineChars="200"/>
        <w:rPr>
          <w:rFonts w:hint="default"/>
          <w:sz w:val="24"/>
          <w:szCs w:val="36"/>
          <w:lang w:val="en-US" w:eastAsia="zh-CN"/>
        </w:rPr>
      </w:pPr>
      <w:r>
        <w:rPr>
          <w:rFonts w:hint="eastAsia"/>
          <w:sz w:val="24"/>
          <w:highlight w:val="yellow"/>
        </w:rPr>
        <w:t>应用平台基础框架</w:t>
      </w:r>
      <w:r>
        <w:rPr>
          <w:rFonts w:hint="eastAsia"/>
          <w:sz w:val="24"/>
        </w:rPr>
        <w:t>：</w:t>
      </w:r>
      <w:r>
        <w:rPr>
          <w:sz w:val="24"/>
        </w:rPr>
        <w:t>easydict, loguru, tqdm, tabulate</w:t>
      </w:r>
      <w:r>
        <w:rPr>
          <w:rFonts w:hint="eastAsia"/>
          <w:sz w:val="24"/>
          <w:lang w:val="en-US" w:eastAsia="zh-CN"/>
        </w:rPr>
        <w:t>,yacs,pytest,termcolor。</w:t>
      </w:r>
      <w:r>
        <w:rPr>
          <w:rFonts w:hint="default"/>
          <w:sz w:val="24"/>
          <w:szCs w:val="36"/>
          <w:lang w:val="en-US" w:eastAsia="zh-CN"/>
        </w:rPr>
        <w:t>提供通用配置、日志、命令行表格等支撑功能的轻量级框架</w:t>
      </w:r>
      <w:r>
        <w:rPr>
          <w:rFonts w:hint="eastAsia"/>
          <w:sz w:val="24"/>
          <w:szCs w:val="36"/>
          <w:lang w:val="en-US" w:eastAsia="zh-CN"/>
        </w:rPr>
        <w:t>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6562"/>
        <w:gridCol w:w="678"/>
      </w:tblGrid>
      <w:tr w14:paraId="07DAC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dxa"/>
          </w:tcPr>
          <w:p w14:paraId="041DE8CC">
            <w:pPr>
              <w:spacing w:line="240" w:lineRule="exact"/>
            </w:pPr>
            <w:r>
              <w:rPr>
                <w:rFonts w:hint="eastAsia"/>
              </w:rPr>
              <w:t>名称</w:t>
            </w:r>
          </w:p>
        </w:tc>
        <w:tc>
          <w:tcPr>
            <w:tcW w:w="6562" w:type="dxa"/>
          </w:tcPr>
          <w:p w14:paraId="560C42D1">
            <w:pPr>
              <w:spacing w:line="240" w:lineRule="exact"/>
            </w:pPr>
            <w:r>
              <w:rPr>
                <w:rFonts w:hint="eastAsia"/>
              </w:rPr>
              <w:t>功能</w:t>
            </w:r>
          </w:p>
        </w:tc>
        <w:tc>
          <w:tcPr>
            <w:tcW w:w="678" w:type="dxa"/>
          </w:tcPr>
          <w:p w14:paraId="108F4DA8">
            <w:pPr>
              <w:spacing w:line="240" w:lineRule="exact"/>
            </w:pPr>
            <w:r>
              <w:rPr>
                <w:rFonts w:hint="eastAsia"/>
              </w:rPr>
              <w:t>备注</w:t>
            </w:r>
          </w:p>
        </w:tc>
      </w:tr>
      <w:tr w14:paraId="06E3E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dxa"/>
          </w:tcPr>
          <w:p w14:paraId="6D6E50FB">
            <w:pPr>
              <w:spacing w:line="240" w:lineRule="exact"/>
            </w:pPr>
            <w:r>
              <w:rPr>
                <w:rFonts w:hint="eastAsia"/>
                <w:highlight w:val="yellow"/>
              </w:rPr>
              <w:t>t</w:t>
            </w:r>
            <w:r>
              <w:rPr>
                <w:highlight w:val="yellow"/>
              </w:rPr>
              <w:t>qdm</w:t>
            </w:r>
          </w:p>
        </w:tc>
        <w:tc>
          <w:tcPr>
            <w:tcW w:w="6562" w:type="dxa"/>
          </w:tcPr>
          <w:p w14:paraId="2567995C">
            <w:pPr>
              <w:spacing w:line="240" w:lineRule="exact"/>
            </w:pPr>
            <w:r>
              <w:rPr>
                <w:rFonts w:hint="eastAsia"/>
              </w:rPr>
              <w:t>快速生成进度条，用于显示循环、文件读写等操作的实时进度。</w:t>
            </w:r>
          </w:p>
        </w:tc>
        <w:tc>
          <w:tcPr>
            <w:tcW w:w="678" w:type="dxa"/>
          </w:tcPr>
          <w:p w14:paraId="56BBC43B">
            <w:pPr>
              <w:spacing w:line="240" w:lineRule="exact"/>
            </w:pPr>
          </w:p>
        </w:tc>
      </w:tr>
      <w:tr w14:paraId="5FC53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dxa"/>
          </w:tcPr>
          <w:p w14:paraId="40D85CBA">
            <w:pPr>
              <w:spacing w:line="240" w:lineRule="exact"/>
            </w:pPr>
            <w:r>
              <w:rPr>
                <w:rFonts w:hint="eastAsia"/>
                <w:highlight w:val="yellow"/>
              </w:rPr>
              <w:t>l</w:t>
            </w:r>
            <w:r>
              <w:rPr>
                <w:highlight w:val="yellow"/>
              </w:rPr>
              <w:t>oguru</w:t>
            </w:r>
          </w:p>
        </w:tc>
        <w:tc>
          <w:tcPr>
            <w:tcW w:w="6562" w:type="dxa"/>
          </w:tcPr>
          <w:p w14:paraId="0EA4C97F">
            <w:pPr>
              <w:spacing w:line="240" w:lineRule="exact"/>
            </w:pPr>
            <w:r>
              <w:rPr>
                <w:rFonts w:hint="eastAsia"/>
              </w:rPr>
              <w:t>旨在简化日志记录的库，提供开箱即用的彩色日志、异常追溯等功能。</w:t>
            </w:r>
          </w:p>
        </w:tc>
        <w:tc>
          <w:tcPr>
            <w:tcW w:w="678" w:type="dxa"/>
          </w:tcPr>
          <w:p w14:paraId="0F3FD5C2">
            <w:pPr>
              <w:spacing w:line="240" w:lineRule="exact"/>
            </w:pPr>
          </w:p>
        </w:tc>
      </w:tr>
      <w:tr w14:paraId="357C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dxa"/>
          </w:tcPr>
          <w:p w14:paraId="5E3BD309">
            <w:pPr>
              <w:spacing w:line="240" w:lineRule="exact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e</w:t>
            </w:r>
            <w:r>
              <w:rPr>
                <w:highlight w:val="yellow"/>
              </w:rPr>
              <w:t>asydict</w:t>
            </w:r>
          </w:p>
        </w:tc>
        <w:tc>
          <w:tcPr>
            <w:tcW w:w="6562" w:type="dxa"/>
          </w:tcPr>
          <w:p w14:paraId="22133218">
            <w:pPr>
              <w:spacing w:line="240" w:lineRule="exact"/>
            </w:pPr>
            <w:r>
              <w:rPr>
                <w:rFonts w:hint="eastAsia"/>
              </w:rPr>
              <w:t>允许通过属性访问（.）方式访问字典键值，提高代码可读性。</w:t>
            </w:r>
          </w:p>
        </w:tc>
        <w:tc>
          <w:tcPr>
            <w:tcW w:w="678" w:type="dxa"/>
          </w:tcPr>
          <w:p w14:paraId="6DF485BA">
            <w:pPr>
              <w:spacing w:line="240" w:lineRule="exact"/>
            </w:pPr>
          </w:p>
        </w:tc>
      </w:tr>
      <w:tr w14:paraId="7F391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dxa"/>
          </w:tcPr>
          <w:p w14:paraId="3324F446">
            <w:pPr>
              <w:spacing w:line="240" w:lineRule="exact"/>
            </w:pPr>
            <w:r>
              <w:rPr>
                <w:rFonts w:hint="eastAsia"/>
                <w:highlight w:val="yellow"/>
              </w:rPr>
              <w:t>t</w:t>
            </w:r>
            <w:r>
              <w:rPr>
                <w:highlight w:val="yellow"/>
              </w:rPr>
              <w:t>abulate</w:t>
            </w:r>
          </w:p>
        </w:tc>
        <w:tc>
          <w:tcPr>
            <w:tcW w:w="6562" w:type="dxa"/>
          </w:tcPr>
          <w:p w14:paraId="3353C50A">
            <w:pPr>
              <w:spacing w:line="240" w:lineRule="exact"/>
            </w:pPr>
            <w:r>
              <w:rPr>
                <w:rFonts w:hint="eastAsia"/>
              </w:rPr>
              <w:t>将列表、字典等数据结构格式化为美观的 ASCII/Unicode 表格，用于终端输出。</w:t>
            </w:r>
          </w:p>
        </w:tc>
        <w:tc>
          <w:tcPr>
            <w:tcW w:w="678" w:type="dxa"/>
          </w:tcPr>
          <w:p w14:paraId="1F5AAD65">
            <w:pPr>
              <w:spacing w:line="240" w:lineRule="exact"/>
            </w:pPr>
          </w:p>
        </w:tc>
      </w:tr>
      <w:tr w14:paraId="15F56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dxa"/>
          </w:tcPr>
          <w:p w14:paraId="7DB13B76">
            <w:pPr>
              <w:spacing w:line="240" w:lineRule="exact"/>
              <w:rPr>
                <w:rFonts w:hint="eastAsia"/>
                <w:highlight w:val="yellow"/>
              </w:rPr>
            </w:pPr>
            <w:r>
              <w:rPr>
                <w:rFonts w:hint="default"/>
                <w:szCs w:val="28"/>
                <w:lang w:val="en-US" w:eastAsia="zh-CN"/>
              </w:rPr>
              <w:t xml:space="preserve">yacs  </w:t>
            </w:r>
          </w:p>
        </w:tc>
        <w:tc>
          <w:tcPr>
            <w:tcW w:w="6562" w:type="dxa"/>
          </w:tcPr>
          <w:p w14:paraId="460E3270">
            <w:pPr>
              <w:spacing w:line="240" w:lineRule="exact"/>
              <w:rPr>
                <w:rFonts w:hint="eastAsia"/>
              </w:rPr>
            </w:pPr>
            <w:r>
              <w:rPr>
                <w:rFonts w:hint="default"/>
                <w:szCs w:val="28"/>
                <w:lang w:val="en-US" w:eastAsia="zh-CN"/>
              </w:rPr>
              <w:t>配置文件管理（YAML）</w:t>
            </w:r>
          </w:p>
        </w:tc>
        <w:tc>
          <w:tcPr>
            <w:tcW w:w="678" w:type="dxa"/>
          </w:tcPr>
          <w:p w14:paraId="062D63C9">
            <w:pPr>
              <w:spacing w:line="240" w:lineRule="exact"/>
            </w:pPr>
          </w:p>
        </w:tc>
      </w:tr>
      <w:tr w14:paraId="2D428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dxa"/>
          </w:tcPr>
          <w:p w14:paraId="63DE2E67">
            <w:pPr>
              <w:spacing w:line="240" w:lineRule="exact"/>
              <w:rPr>
                <w:rFonts w:hint="default"/>
                <w:szCs w:val="28"/>
                <w:lang w:val="en-US" w:eastAsia="zh-CN"/>
              </w:rPr>
            </w:pPr>
            <w:r>
              <w:rPr>
                <w:rFonts w:hint="default"/>
                <w:szCs w:val="28"/>
                <w:lang w:val="en-US" w:eastAsia="zh-CN"/>
              </w:rPr>
              <w:t>pytest</w:t>
            </w:r>
          </w:p>
        </w:tc>
        <w:tc>
          <w:tcPr>
            <w:tcW w:w="6562" w:type="dxa"/>
          </w:tcPr>
          <w:p w14:paraId="68E5DD82">
            <w:pPr>
              <w:spacing w:line="240" w:lineRule="exact"/>
              <w:rPr>
                <w:rFonts w:hint="default"/>
                <w:szCs w:val="28"/>
                <w:lang w:val="en-US" w:eastAsia="zh-CN"/>
              </w:rPr>
            </w:pPr>
            <w:r>
              <w:rPr>
                <w:rFonts w:hint="default"/>
                <w:szCs w:val="28"/>
                <w:lang w:val="en-US" w:eastAsia="zh-CN"/>
              </w:rPr>
              <w:t>单元测试框架</w:t>
            </w:r>
          </w:p>
        </w:tc>
        <w:tc>
          <w:tcPr>
            <w:tcW w:w="678" w:type="dxa"/>
          </w:tcPr>
          <w:p w14:paraId="038F445F">
            <w:pPr>
              <w:spacing w:line="240" w:lineRule="exact"/>
            </w:pPr>
          </w:p>
        </w:tc>
      </w:tr>
      <w:tr w14:paraId="237E3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7" w:type="dxa"/>
          </w:tcPr>
          <w:p w14:paraId="62F8763B">
            <w:pPr>
              <w:spacing w:line="240" w:lineRule="exact"/>
              <w:rPr>
                <w:rFonts w:hint="default"/>
                <w:szCs w:val="28"/>
                <w:lang w:val="en-US" w:eastAsia="zh-CN"/>
              </w:rPr>
            </w:pPr>
            <w:r>
              <w:rPr>
                <w:rFonts w:hint="default"/>
                <w:szCs w:val="28"/>
                <w:lang w:val="en-US" w:eastAsia="zh-CN"/>
              </w:rPr>
              <w:t xml:space="preserve">termcolor </w:t>
            </w:r>
          </w:p>
        </w:tc>
        <w:tc>
          <w:tcPr>
            <w:tcW w:w="6562" w:type="dxa"/>
          </w:tcPr>
          <w:p w14:paraId="02303B5E">
            <w:pPr>
              <w:spacing w:line="240" w:lineRule="exact"/>
              <w:rPr>
                <w:rFonts w:hint="default"/>
                <w:szCs w:val="28"/>
                <w:lang w:val="en-US" w:eastAsia="zh-CN"/>
              </w:rPr>
            </w:pPr>
            <w:r>
              <w:rPr>
                <w:rFonts w:hint="default"/>
                <w:szCs w:val="28"/>
                <w:lang w:val="en-US" w:eastAsia="zh-CN"/>
              </w:rPr>
              <w:t>终端彩色文字输出</w:t>
            </w:r>
          </w:p>
        </w:tc>
        <w:tc>
          <w:tcPr>
            <w:tcW w:w="678" w:type="dxa"/>
          </w:tcPr>
          <w:p w14:paraId="5D86DBEF">
            <w:pPr>
              <w:spacing w:line="240" w:lineRule="exact"/>
            </w:pPr>
          </w:p>
        </w:tc>
      </w:tr>
    </w:tbl>
    <w:p w14:paraId="0BC17F38">
      <w:pPr>
        <w:pStyle w:val="2"/>
      </w:pPr>
    </w:p>
    <w:p w14:paraId="561BACA8">
      <w:pPr>
        <w:pStyle w:val="2"/>
        <w:rPr>
          <w:rFonts w:hint="default" w:eastAsia="宋体"/>
          <w:color w:val="0000FF"/>
          <w:highlight w:val="yellow"/>
          <w:lang w:val="en-US" w:eastAsia="zh-CN"/>
        </w:rPr>
      </w:pPr>
      <w:r>
        <w:rPr>
          <w:rFonts w:hint="eastAsia"/>
          <w:color w:val="0000FF"/>
          <w:highlight w:val="yellow"/>
          <w:lang w:val="en-US" w:eastAsia="zh-CN"/>
        </w:rPr>
        <w:t>待完善</w:t>
      </w:r>
    </w:p>
    <w:p w14:paraId="116C594B">
      <w:pPr>
        <w:pStyle w:val="2"/>
        <w:ind w:firstLine="480" w:firstLineChars="200"/>
        <w:rPr>
          <w:sz w:val="24"/>
        </w:rPr>
      </w:pPr>
      <w:r>
        <w:rPr>
          <w:rFonts w:hint="eastAsia"/>
          <w:sz w:val="24"/>
        </w:rPr>
        <w:t>针对“系统提供裸机容器、虚拟机容器、容器集群生命周期、容器应用生命周期管理、容器镜像仓、容器运维监控”</w:t>
      </w:r>
      <w:r>
        <w:rPr>
          <w:sz w:val="24"/>
        </w:rPr>
        <w:t>：</w:t>
      </w:r>
    </w:p>
    <w:p w14:paraId="08908690">
      <w:pPr>
        <w:pStyle w:val="2"/>
        <w:ind w:firstLine="480" w:firstLineChars="200"/>
        <w:rPr>
          <w:sz w:val="24"/>
        </w:rPr>
      </w:pPr>
      <w:r>
        <w:rPr>
          <w:sz w:val="24"/>
        </w:rPr>
        <w:t>本项目配置华为DCS数据中心管理软件，具备对计算、存储、网络等资源的全局管理和虚拟化能力，形成弹性资源池，支持全局调度和管理</w:t>
      </w:r>
    </w:p>
    <w:p w14:paraId="099D9241">
      <w:pPr>
        <w:pStyle w:val="2"/>
        <w:ind w:firstLine="480" w:firstLineChars="200"/>
        <w:rPr>
          <w:sz w:val="24"/>
        </w:rPr>
      </w:pPr>
      <w:r>
        <w:rPr>
          <w:sz w:val="24"/>
        </w:rPr>
        <w:t>本次项目</w:t>
      </w:r>
      <w:r>
        <w:rPr>
          <w:rFonts w:hint="eastAsia"/>
          <w:sz w:val="24"/>
        </w:rPr>
        <w:t>采用</w:t>
      </w:r>
      <w:r>
        <w:rPr>
          <w:sz w:val="24"/>
        </w:rPr>
        <w:t>FusionCompute</w:t>
      </w:r>
      <w:r>
        <w:rPr>
          <w:rFonts w:hint="eastAsia"/>
          <w:sz w:val="24"/>
        </w:rPr>
        <w:t>为系统</w:t>
      </w:r>
      <w:r>
        <w:rPr>
          <w:sz w:val="24"/>
        </w:rPr>
        <w:t>提供虚拟机和容器双栈管理，用户可通过单一界面完成虚拟机和容器应用的可视化管理，资源管理软件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ar(--ds-font-family-code)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0C8"/>
    <w:rsid w:val="00006836"/>
    <w:rsid w:val="00020176"/>
    <w:rsid w:val="00094169"/>
    <w:rsid w:val="000B271B"/>
    <w:rsid w:val="0017066D"/>
    <w:rsid w:val="00185ED1"/>
    <w:rsid w:val="001973ED"/>
    <w:rsid w:val="001A73C5"/>
    <w:rsid w:val="002274FA"/>
    <w:rsid w:val="00235012"/>
    <w:rsid w:val="00271FD5"/>
    <w:rsid w:val="002B16CD"/>
    <w:rsid w:val="002F2851"/>
    <w:rsid w:val="00302947"/>
    <w:rsid w:val="003140C8"/>
    <w:rsid w:val="0031597D"/>
    <w:rsid w:val="00343590"/>
    <w:rsid w:val="00363708"/>
    <w:rsid w:val="003650FF"/>
    <w:rsid w:val="003B093F"/>
    <w:rsid w:val="003B1E53"/>
    <w:rsid w:val="003B47FC"/>
    <w:rsid w:val="003D4BD6"/>
    <w:rsid w:val="00431479"/>
    <w:rsid w:val="004B2321"/>
    <w:rsid w:val="004B559D"/>
    <w:rsid w:val="005328E7"/>
    <w:rsid w:val="005555A0"/>
    <w:rsid w:val="00570685"/>
    <w:rsid w:val="00595D84"/>
    <w:rsid w:val="005B6FD5"/>
    <w:rsid w:val="005C5463"/>
    <w:rsid w:val="005D7FFA"/>
    <w:rsid w:val="00615A29"/>
    <w:rsid w:val="00652677"/>
    <w:rsid w:val="006535C3"/>
    <w:rsid w:val="006A60EC"/>
    <w:rsid w:val="006D286B"/>
    <w:rsid w:val="00732654"/>
    <w:rsid w:val="00742E9A"/>
    <w:rsid w:val="007606BA"/>
    <w:rsid w:val="007A69F0"/>
    <w:rsid w:val="007B6EAA"/>
    <w:rsid w:val="007E580E"/>
    <w:rsid w:val="008173AA"/>
    <w:rsid w:val="008267DC"/>
    <w:rsid w:val="00991533"/>
    <w:rsid w:val="009C082F"/>
    <w:rsid w:val="00A359E1"/>
    <w:rsid w:val="00A640DE"/>
    <w:rsid w:val="00A92D82"/>
    <w:rsid w:val="00A94CBC"/>
    <w:rsid w:val="00AB7DE9"/>
    <w:rsid w:val="00AD40A6"/>
    <w:rsid w:val="00AD7F32"/>
    <w:rsid w:val="00AE2980"/>
    <w:rsid w:val="00B50D7A"/>
    <w:rsid w:val="00B75E24"/>
    <w:rsid w:val="00B83A89"/>
    <w:rsid w:val="00BA2B74"/>
    <w:rsid w:val="00BA67CF"/>
    <w:rsid w:val="00BC73FD"/>
    <w:rsid w:val="00C154F1"/>
    <w:rsid w:val="00C158E7"/>
    <w:rsid w:val="00C27DAF"/>
    <w:rsid w:val="00CA6C71"/>
    <w:rsid w:val="00CD5738"/>
    <w:rsid w:val="00CE465C"/>
    <w:rsid w:val="00D148B6"/>
    <w:rsid w:val="00D30FF6"/>
    <w:rsid w:val="00D43514"/>
    <w:rsid w:val="00D56D60"/>
    <w:rsid w:val="00D63BC8"/>
    <w:rsid w:val="00D761FC"/>
    <w:rsid w:val="00D83D70"/>
    <w:rsid w:val="00DA6F63"/>
    <w:rsid w:val="00DB2329"/>
    <w:rsid w:val="00DF1C75"/>
    <w:rsid w:val="00DF5C62"/>
    <w:rsid w:val="00EB7CA9"/>
    <w:rsid w:val="00EC1AF1"/>
    <w:rsid w:val="00F40EEA"/>
    <w:rsid w:val="00F6371C"/>
    <w:rsid w:val="00FA0ABA"/>
    <w:rsid w:val="06491B8C"/>
    <w:rsid w:val="081859DF"/>
    <w:rsid w:val="0948329C"/>
    <w:rsid w:val="0CDE5E6B"/>
    <w:rsid w:val="166103AE"/>
    <w:rsid w:val="178105BA"/>
    <w:rsid w:val="1FFE1B1F"/>
    <w:rsid w:val="24D70266"/>
    <w:rsid w:val="2579601D"/>
    <w:rsid w:val="260D3C2B"/>
    <w:rsid w:val="26C22DC6"/>
    <w:rsid w:val="2E92591D"/>
    <w:rsid w:val="3355074A"/>
    <w:rsid w:val="389A3FCB"/>
    <w:rsid w:val="3E3D68D1"/>
    <w:rsid w:val="3E4A66B4"/>
    <w:rsid w:val="425973CB"/>
    <w:rsid w:val="498148FD"/>
    <w:rsid w:val="58BD1B3B"/>
    <w:rsid w:val="5C522529"/>
    <w:rsid w:val="63AE52B5"/>
    <w:rsid w:val="64C0096C"/>
    <w:rsid w:val="6DB01B8B"/>
    <w:rsid w:val="6FA244D7"/>
    <w:rsid w:val="731073A0"/>
    <w:rsid w:val="77FE0C6C"/>
    <w:rsid w:val="7844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9"/>
    <w:unhideWhenUsed/>
    <w:qFormat/>
    <w:uiPriority w:val="99"/>
    <w:pPr>
      <w:spacing w:after="120"/>
    </w:p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9">
    <w:name w:val="正文文本 Char"/>
    <w:basedOn w:val="7"/>
    <w:link w:val="2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0">
    <w:name w:val="页眉 Char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2">
    <w:name w:val="1 - 正文"/>
    <w:qFormat/>
    <w:uiPriority w:val="0"/>
    <w:pPr>
      <w:spacing w:line="460" w:lineRule="exact"/>
      <w:ind w:firstLine="200" w:firstLineChars="200"/>
      <w:jc w:val="both"/>
    </w:pPr>
    <w:rPr>
      <w:rFonts w:ascii="Times New Roman" w:hAnsi="Times New Roman" w:eastAsia="宋体" w:cs="Arial"/>
      <w:kern w:val="2"/>
      <w:sz w:val="28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2716</Words>
  <Characters>4272</Characters>
  <Lines>39</Lines>
  <Paragraphs>11</Paragraphs>
  <TotalTime>3184</TotalTime>
  <ScaleCrop>false</ScaleCrop>
  <LinksUpToDate>false</LinksUpToDate>
  <CharactersWithSpaces>4383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2026-05-14T03:50:00Z</dcterms:created>
  <dc:creator>lenovo</dc:creator>
  <cp:lastModifiedBy>echo</cp:lastModifiedBy>
  <dcterms:modified xsi:type="dcterms:W3CDTF">2026-05-19T01:38:37Z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eyJoZGlkIjoiZjJiZTc1ODQxZmYxZGVmZDlmMzgyOGQzY2M2NDM1YmMiLCJ1c2VySWQiOiI1ODYwMTE5NzcifQ==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7D853A24C3D943B0A6322C6AAAB9A484_13</vt:lpwstr>
  </property>
</Properties>
</file>