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bookmarkStart w:id="0" w:name="zXgTEX6GAqBwAQug"/>
      <w:r>
        <w:t>1. Przeglądanie Oferty</w:t>
      </w:r>
      <w:bookmarkEnd w:id="0"/>
    </w:p>
    <w:p>
      <w:pPr>
        <w:keepNext/>
        <w:jc w:val="center"/>
      </w:pPr>
      <w:r>
        <w:drawing>
          <wp:inline distB="0" distL="0" distR="0" distT="0">
            <wp:extent cx="6223000" cy="6972300"/>
            <wp:effectExtent b="0" l="0" r="0" t="0"/>
            <wp:docPr id="1" name="Image0.png" title="Przeglądanie Of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scription"/>
      </w:pPr>
    </w:p>
    <w:p>
      <w:pPr>
        <w:pStyle w:val="Heading1"/>
      </w:pPr>
      <w:bookmarkStart w:id="1" w:name="IpY10X6GAqBwAQrU"/>
      <w:r>
        <w:t>2. Obsługa Koszyka</w:t>
      </w:r>
      <w:bookmarkEnd w:id="1"/>
    </w:p>
    <w:p>
      <w:pPr>
        <w:keepNext/>
        <w:jc w:val="center"/>
      </w:pPr>
      <w:r>
        <w:drawing>
          <wp:inline distB="0" distL="0" distR="0" distT="0">
            <wp:extent cx="5511800" cy="8458200"/>
            <wp:effectExtent b="0" l="0" r="0" t="0"/>
            <wp:docPr id="3" name="Image1.png" title="Obsługa Koszy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scription"/>
      </w:pP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2022-01-24T12:57:35+01:00</dcterms:created>
  <dcterms:modified xsi:type="dcterms:W3CDTF">2022-01-24T12:57:35+01:00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