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092" w:rsidRDefault="005809A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Özgür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Öney</w:t>
      </w:r>
      <w:proofErr w:type="spellEnd"/>
    </w:p>
    <w:p w:rsidR="005809AC" w:rsidRDefault="005809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21101821</w:t>
      </w:r>
    </w:p>
    <w:p w:rsidR="005809AC" w:rsidRDefault="005809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CS342 – 2</w:t>
      </w:r>
    </w:p>
    <w:p w:rsidR="005809AC" w:rsidRDefault="004C7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Assoc. Prof. 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Özcan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Öztürk</w:t>
      </w:r>
      <w:proofErr w:type="spellEnd"/>
    </w:p>
    <w:p w:rsidR="004C7242" w:rsidRDefault="004C7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3 Report</w:t>
      </w:r>
    </w:p>
    <w:p w:rsidR="004C7242" w:rsidRDefault="004C7242" w:rsidP="004C724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part B, I have implemented a tread-safe hash table structure. To do such organization, I have created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SynchControl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holds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it and created for every single bucket on the hash table. Whenever the table is initialized with number taken from command 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SynchControl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is also created to keep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Manipulations done on a particular bucket is protected with it. For example, whenever user requests to do some insertion on a single bucket, deletion and retrieval on it is prohibited. </w:t>
      </w:r>
    </w:p>
    <w:p w:rsidR="004C7242" w:rsidRDefault="004C7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Graphs given below demonstrate different scenarios while I tested hash table implementation. Necessary explanations are also provided for each graph. Numbers determined by considering given limits for N (N&gt;10 &amp; N&lt;100)</w:t>
      </w:r>
    </w:p>
    <w:p w:rsidR="004C7242" w:rsidRDefault="00D2476B">
      <w:pPr>
        <w:rPr>
          <w:rFonts w:ascii="Times New Roman" w:hAnsi="Times New Roman" w:cs="Times New Roman"/>
          <w:sz w:val="24"/>
          <w:szCs w:val="24"/>
        </w:rPr>
      </w:pPr>
      <w:r w:rsidRPr="00D2476B">
        <w:rPr>
          <w:rFonts w:ascii="Times New Roman" w:hAnsi="Times New Roman" w:cs="Times New Roman"/>
          <w:b/>
          <w:i/>
          <w:sz w:val="24"/>
          <w:szCs w:val="24"/>
        </w:rPr>
        <w:t>Table A:</w:t>
      </w:r>
      <w:r w:rsidR="004C7242">
        <w:rPr>
          <w:rFonts w:ascii="Times New Roman" w:hAnsi="Times New Roman" w:cs="Times New Roman"/>
          <w:sz w:val="24"/>
          <w:szCs w:val="24"/>
        </w:rPr>
        <w:t xml:space="preserve"> Constant number of deletions and insertions while table size is increased.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C7242" w:rsidTr="004C7242">
        <w:tc>
          <w:tcPr>
            <w:tcW w:w="4606" w:type="dxa"/>
          </w:tcPr>
          <w:p w:rsidR="004C7242" w:rsidRPr="004C7242" w:rsidRDefault="004C7242" w:rsidP="004C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7242">
              <w:rPr>
                <w:rFonts w:ascii="Times New Roman" w:hAnsi="Times New Roman" w:cs="Times New Roman"/>
                <w:b/>
                <w:sz w:val="24"/>
                <w:szCs w:val="24"/>
              </w:rPr>
              <w:t>Table Size</w:t>
            </w:r>
          </w:p>
        </w:tc>
        <w:tc>
          <w:tcPr>
            <w:tcW w:w="4606" w:type="dxa"/>
          </w:tcPr>
          <w:p w:rsidR="004C7242" w:rsidRPr="004C7242" w:rsidRDefault="004C7242" w:rsidP="004C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7242">
              <w:rPr>
                <w:rFonts w:ascii="Times New Roman" w:hAnsi="Times New Roman" w:cs="Times New Roman"/>
                <w:b/>
                <w:sz w:val="24"/>
                <w:szCs w:val="24"/>
              </w:rPr>
              <w:t>Time(s)</w:t>
            </w:r>
          </w:p>
        </w:tc>
      </w:tr>
      <w:tr w:rsidR="004C7242" w:rsidTr="004C7242">
        <w:tc>
          <w:tcPr>
            <w:tcW w:w="4606" w:type="dxa"/>
          </w:tcPr>
          <w:p w:rsidR="004C7242" w:rsidRDefault="004C7242" w:rsidP="004C7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6" w:type="dxa"/>
          </w:tcPr>
          <w:p w:rsidR="004C7242" w:rsidRDefault="004C7242" w:rsidP="004C7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C7242" w:rsidTr="004C7242">
        <w:tc>
          <w:tcPr>
            <w:tcW w:w="4606" w:type="dxa"/>
          </w:tcPr>
          <w:p w:rsidR="004C7242" w:rsidRDefault="004C7242" w:rsidP="004C7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06" w:type="dxa"/>
          </w:tcPr>
          <w:p w:rsidR="004C7242" w:rsidRDefault="004C7242" w:rsidP="004C7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C7242" w:rsidTr="004C7242">
        <w:tc>
          <w:tcPr>
            <w:tcW w:w="4606" w:type="dxa"/>
          </w:tcPr>
          <w:p w:rsidR="004C7242" w:rsidRDefault="004C7242" w:rsidP="004C7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06" w:type="dxa"/>
          </w:tcPr>
          <w:p w:rsidR="004C7242" w:rsidRDefault="004C7242" w:rsidP="004C7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4C7242" w:rsidTr="004C7242">
        <w:tc>
          <w:tcPr>
            <w:tcW w:w="4606" w:type="dxa"/>
          </w:tcPr>
          <w:p w:rsidR="004C7242" w:rsidRDefault="004C7242" w:rsidP="004C7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606" w:type="dxa"/>
          </w:tcPr>
          <w:p w:rsidR="004C7242" w:rsidRDefault="004C7242" w:rsidP="004C7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4C7242" w:rsidTr="004C7242">
        <w:tc>
          <w:tcPr>
            <w:tcW w:w="4606" w:type="dxa"/>
          </w:tcPr>
          <w:p w:rsidR="004C7242" w:rsidRDefault="004C7242" w:rsidP="004C7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06" w:type="dxa"/>
          </w:tcPr>
          <w:p w:rsidR="004C7242" w:rsidRDefault="004C7242" w:rsidP="004C7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:rsidR="00D2476B" w:rsidRDefault="00D2476B">
      <w:pPr>
        <w:rPr>
          <w:rFonts w:ascii="Times New Roman" w:hAnsi="Times New Roman" w:cs="Times New Roman"/>
          <w:noProof/>
          <w:sz w:val="24"/>
          <w:szCs w:val="24"/>
          <w:lang w:val="tr-TR" w:eastAsia="tr-TR"/>
        </w:rPr>
      </w:pPr>
    </w:p>
    <w:p w:rsidR="004C7242" w:rsidRDefault="00D2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5760720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size-t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6B" w:rsidRDefault="00D2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can be understood from the figure, as long as we increase the number of buckets in hash table, time needed to do fixed number of deletions &amp; insertions is increased. However,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although the computer used for testing is same, graph does not behave linearly; which could be a result of background processes running on the computer. </w:t>
      </w:r>
    </w:p>
    <w:p w:rsidR="000E5F3B" w:rsidRDefault="000E5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Table B: </w:t>
      </w:r>
      <w:r>
        <w:rPr>
          <w:rFonts w:ascii="Times New Roman" w:hAnsi="Times New Roman" w:cs="Times New Roman"/>
          <w:sz w:val="24"/>
          <w:szCs w:val="24"/>
        </w:rPr>
        <w:t>Needed time for insertion when number of buckets (N) is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E5F3B" w:rsidTr="000E5F3B">
        <w:tc>
          <w:tcPr>
            <w:tcW w:w="4606" w:type="dxa"/>
          </w:tcPr>
          <w:p w:rsidR="000E5F3B" w:rsidRPr="00845A3C" w:rsidRDefault="000E5F3B" w:rsidP="00845A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A3C">
              <w:rPr>
                <w:rFonts w:ascii="Times New Roman" w:hAnsi="Times New Roman" w:cs="Times New Roman"/>
                <w:b/>
                <w:sz w:val="24"/>
                <w:szCs w:val="24"/>
              </w:rPr>
              <w:t># of insertion</w:t>
            </w:r>
          </w:p>
        </w:tc>
        <w:tc>
          <w:tcPr>
            <w:tcW w:w="4606" w:type="dxa"/>
          </w:tcPr>
          <w:p w:rsidR="000E5F3B" w:rsidRPr="00845A3C" w:rsidRDefault="000E5F3B" w:rsidP="00845A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A3C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0E5F3B" w:rsidTr="000E5F3B">
        <w:tc>
          <w:tcPr>
            <w:tcW w:w="4606" w:type="dxa"/>
          </w:tcPr>
          <w:p w:rsidR="000E5F3B" w:rsidRDefault="000E5F3B" w:rsidP="00845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6" w:type="dxa"/>
          </w:tcPr>
          <w:p w:rsidR="000E5F3B" w:rsidRDefault="000E5F3B" w:rsidP="00845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E5F3B" w:rsidTr="000E5F3B">
        <w:tc>
          <w:tcPr>
            <w:tcW w:w="4606" w:type="dxa"/>
          </w:tcPr>
          <w:p w:rsidR="000E5F3B" w:rsidRDefault="000E5F3B" w:rsidP="00845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06" w:type="dxa"/>
          </w:tcPr>
          <w:p w:rsidR="000E5F3B" w:rsidRDefault="000E5F3B" w:rsidP="00845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0E5F3B" w:rsidTr="000E5F3B">
        <w:tc>
          <w:tcPr>
            <w:tcW w:w="4606" w:type="dxa"/>
          </w:tcPr>
          <w:p w:rsidR="000E5F3B" w:rsidRDefault="000E5F3B" w:rsidP="00845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06" w:type="dxa"/>
          </w:tcPr>
          <w:p w:rsidR="000E5F3B" w:rsidRDefault="000E5F3B" w:rsidP="00845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</w:tr>
      <w:tr w:rsidR="000E5F3B" w:rsidTr="000E5F3B">
        <w:tc>
          <w:tcPr>
            <w:tcW w:w="4606" w:type="dxa"/>
          </w:tcPr>
          <w:p w:rsidR="000E5F3B" w:rsidRDefault="000E5F3B" w:rsidP="00845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606" w:type="dxa"/>
          </w:tcPr>
          <w:p w:rsidR="000E5F3B" w:rsidRDefault="000E5F3B" w:rsidP="00845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</w:tbl>
    <w:p w:rsidR="000E5F3B" w:rsidRDefault="000E5F3B">
      <w:pPr>
        <w:rPr>
          <w:rFonts w:ascii="Times New Roman" w:hAnsi="Times New Roman" w:cs="Times New Roman"/>
          <w:sz w:val="24"/>
          <w:szCs w:val="24"/>
        </w:rPr>
      </w:pPr>
    </w:p>
    <w:p w:rsidR="000E5F3B" w:rsidRDefault="000E5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5760720" cy="2703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 t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3B" w:rsidRDefault="000E5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can be understood from the figure, time increases in parallel manner when number of insertion increases. To exemplify this, imagine a scenario where we want to insert both 2 and 12 at mod10, which indicates that we are aiming to bucket #2. Hereby, we have to wait for the insertion of 2 before, just after that 12. </w:t>
      </w:r>
    </w:p>
    <w:p w:rsidR="00845A3C" w:rsidRDefault="00845A3C">
      <w:pPr>
        <w:rPr>
          <w:rFonts w:ascii="Times New Roman" w:hAnsi="Times New Roman" w:cs="Times New Roman"/>
          <w:sz w:val="24"/>
          <w:szCs w:val="24"/>
        </w:rPr>
      </w:pPr>
    </w:p>
    <w:p w:rsidR="00845A3C" w:rsidRDefault="00845A3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845A3C" w:rsidRDefault="0084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Table C: </w:t>
      </w:r>
      <w:r>
        <w:rPr>
          <w:rFonts w:ascii="Times New Roman" w:hAnsi="Times New Roman" w:cs="Times New Roman"/>
          <w:sz w:val="24"/>
          <w:szCs w:val="24"/>
        </w:rPr>
        <w:t xml:space="preserve">Needed time for </w:t>
      </w:r>
      <w:r>
        <w:rPr>
          <w:rFonts w:ascii="Times New Roman" w:hAnsi="Times New Roman" w:cs="Times New Roman"/>
          <w:sz w:val="24"/>
          <w:szCs w:val="24"/>
        </w:rPr>
        <w:t>deletion</w:t>
      </w:r>
      <w:r>
        <w:rPr>
          <w:rFonts w:ascii="Times New Roman" w:hAnsi="Times New Roman" w:cs="Times New Roman"/>
          <w:sz w:val="24"/>
          <w:szCs w:val="24"/>
        </w:rPr>
        <w:t xml:space="preserve"> when number of buckets (N) is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45A3C" w:rsidRPr="00845A3C" w:rsidTr="00F81C60">
        <w:tc>
          <w:tcPr>
            <w:tcW w:w="4606" w:type="dxa"/>
          </w:tcPr>
          <w:p w:rsidR="00845A3C" w:rsidRPr="00845A3C" w:rsidRDefault="00845A3C" w:rsidP="00845A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A3C">
              <w:rPr>
                <w:rFonts w:ascii="Times New Roman" w:hAnsi="Times New Roman" w:cs="Times New Roman"/>
                <w:b/>
                <w:sz w:val="24"/>
                <w:szCs w:val="24"/>
              </w:rPr>
              <w:t># of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deletion</w:t>
            </w:r>
          </w:p>
        </w:tc>
        <w:tc>
          <w:tcPr>
            <w:tcW w:w="4606" w:type="dxa"/>
          </w:tcPr>
          <w:p w:rsidR="00845A3C" w:rsidRPr="00845A3C" w:rsidRDefault="00845A3C" w:rsidP="00F81C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A3C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845A3C" w:rsidTr="00F81C60">
        <w:tc>
          <w:tcPr>
            <w:tcW w:w="4606" w:type="dxa"/>
          </w:tcPr>
          <w:p w:rsidR="00845A3C" w:rsidRDefault="00845A3C" w:rsidP="00F81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6" w:type="dxa"/>
          </w:tcPr>
          <w:p w:rsidR="00845A3C" w:rsidRDefault="00845A3C" w:rsidP="00F81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845A3C" w:rsidTr="00F81C60">
        <w:tc>
          <w:tcPr>
            <w:tcW w:w="4606" w:type="dxa"/>
          </w:tcPr>
          <w:p w:rsidR="00845A3C" w:rsidRDefault="00845A3C" w:rsidP="00F81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06" w:type="dxa"/>
          </w:tcPr>
          <w:p w:rsidR="00845A3C" w:rsidRDefault="00845A3C" w:rsidP="00845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45A3C" w:rsidTr="00F81C60">
        <w:tc>
          <w:tcPr>
            <w:tcW w:w="4606" w:type="dxa"/>
          </w:tcPr>
          <w:p w:rsidR="00845A3C" w:rsidRDefault="00845A3C" w:rsidP="00F81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06" w:type="dxa"/>
          </w:tcPr>
          <w:p w:rsidR="00845A3C" w:rsidRDefault="00845A3C" w:rsidP="00845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45A3C" w:rsidTr="00F81C60">
        <w:tc>
          <w:tcPr>
            <w:tcW w:w="4606" w:type="dxa"/>
          </w:tcPr>
          <w:p w:rsidR="00845A3C" w:rsidRDefault="00845A3C" w:rsidP="00F81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606" w:type="dxa"/>
          </w:tcPr>
          <w:p w:rsidR="00845A3C" w:rsidRDefault="00845A3C" w:rsidP="00845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</w:tbl>
    <w:p w:rsidR="00845A3C" w:rsidRDefault="00845A3C">
      <w:pPr>
        <w:rPr>
          <w:rFonts w:ascii="Times New Roman" w:hAnsi="Times New Roman" w:cs="Times New Roman"/>
          <w:sz w:val="24"/>
          <w:szCs w:val="24"/>
        </w:rPr>
      </w:pPr>
    </w:p>
    <w:p w:rsidR="00845A3C" w:rsidRDefault="0084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5760720" cy="265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ion 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3C" w:rsidRDefault="00845A3C" w:rsidP="00845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can be understood from the figure, time increases in parallel manner when number of </w:t>
      </w:r>
      <w:r>
        <w:rPr>
          <w:rFonts w:ascii="Times New Roman" w:hAnsi="Times New Roman" w:cs="Times New Roman"/>
          <w:sz w:val="24"/>
          <w:szCs w:val="24"/>
        </w:rPr>
        <w:t>deletion</w:t>
      </w:r>
      <w:r>
        <w:rPr>
          <w:rFonts w:ascii="Times New Roman" w:hAnsi="Times New Roman" w:cs="Times New Roman"/>
          <w:sz w:val="24"/>
          <w:szCs w:val="24"/>
        </w:rPr>
        <w:t xml:space="preserve"> increases. To exemplify this, imagine a scenario where we want to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both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at mod10, which indicates that </w:t>
      </w:r>
      <w:r>
        <w:rPr>
          <w:rFonts w:ascii="Times New Roman" w:hAnsi="Times New Roman" w:cs="Times New Roman"/>
          <w:sz w:val="24"/>
          <w:szCs w:val="24"/>
        </w:rPr>
        <w:t>we aim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 bucket #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Hereby, we have to wait for the </w:t>
      </w:r>
      <w:r w:rsidR="001A48D2">
        <w:rPr>
          <w:rFonts w:ascii="Times New Roman" w:hAnsi="Times New Roman" w:cs="Times New Roman"/>
          <w:sz w:val="24"/>
          <w:szCs w:val="24"/>
        </w:rPr>
        <w:t>deletion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1A48D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before, just after that 1</w:t>
      </w:r>
      <w:r w:rsidR="001A48D2">
        <w:rPr>
          <w:rFonts w:ascii="Times New Roman" w:hAnsi="Times New Roman" w:cs="Times New Roman"/>
          <w:sz w:val="24"/>
          <w:szCs w:val="24"/>
        </w:rPr>
        <w:t>3 can be deleted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48D2">
        <w:rPr>
          <w:rFonts w:ascii="Times New Roman" w:hAnsi="Times New Roman" w:cs="Times New Roman"/>
          <w:sz w:val="24"/>
          <w:szCs w:val="24"/>
        </w:rPr>
        <w:t xml:space="preserve"> (No need to say that they should be in the list of bucket #3).</w:t>
      </w:r>
      <w:bookmarkStart w:id="0" w:name="_GoBack"/>
      <w:bookmarkEnd w:id="0"/>
    </w:p>
    <w:p w:rsidR="00845A3C" w:rsidRPr="00845A3C" w:rsidRDefault="00845A3C">
      <w:pPr>
        <w:rPr>
          <w:rFonts w:ascii="Times New Roman" w:hAnsi="Times New Roman" w:cs="Times New Roman"/>
          <w:sz w:val="24"/>
          <w:szCs w:val="24"/>
        </w:rPr>
      </w:pPr>
    </w:p>
    <w:sectPr w:rsidR="00845A3C" w:rsidRPr="00845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6D"/>
    <w:rsid w:val="000E5F3B"/>
    <w:rsid w:val="001A48D2"/>
    <w:rsid w:val="002A637E"/>
    <w:rsid w:val="00444F30"/>
    <w:rsid w:val="004C7242"/>
    <w:rsid w:val="005809AC"/>
    <w:rsid w:val="005C729C"/>
    <w:rsid w:val="00845A3C"/>
    <w:rsid w:val="00D2476B"/>
    <w:rsid w:val="00D96D92"/>
    <w:rsid w:val="00D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F3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4C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24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F3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4C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24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</dc:creator>
  <cp:keywords/>
  <dc:description/>
  <cp:lastModifiedBy>Özgür</cp:lastModifiedBy>
  <cp:revision>4</cp:revision>
  <dcterms:created xsi:type="dcterms:W3CDTF">2015-11-16T11:48:00Z</dcterms:created>
  <dcterms:modified xsi:type="dcterms:W3CDTF">2015-11-16T15:27:00Z</dcterms:modified>
</cp:coreProperties>
</file>