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先进封装技术进展</w:t>
      </w:r>
    </w:p>
    <w:p>
      <w:pPr>
        <w:pStyle w:val="Heading2"/>
      </w:pPr>
      <w:r>
        <w:t>FOWLP 工艺流程</w:t>
      </w:r>
    </w:p>
    <w:p>
      <w:r>
        <w:t>扇出型晶圆级封装 (FOWLP) 是先进封装的核心技术之一。</w:t>
      </w:r>
    </w:p>
    <w:p>
      <w:r>
        <w:rPr>
          <w:rFonts w:ascii="Times New Roman" w:hAnsi="Times New Roman"/>
          <w:sz w:val="20"/>
        </w:rPr>
        <w:t>Through Silicon Via (TSV) enables 3D stacking.</w:t>
      </w:r>
    </w:p>
    <w:p>
      <w:pPr>
        <w:pStyle w:val="Heading2"/>
      </w:pPr>
      <w:r>
        <w:t>良率数据</w:t>
      </w:r>
    </w:p>
    <w:p>
      <w:r>
        <w:t>5nm Node Yield: 95.3%</w:t>
      </w:r>
    </w:p>
    <w:p>
      <w:r>
        <w:t>7nm Node Yield: 92.1%</w:t>
      </w:r>
    </w:p>
    <w:p>
      <w:r>
        <w:t>5nm Node Yield: 87.1% (conflicting!)</w:t>
      </w:r>
    </w:p>
    <w:p>
      <w:pPr>
        <w:pStyle w:val="Heading2"/>
      </w:pPr>
      <w:r>
        <w:t>Advanced Technologies</w:t>
      </w:r>
    </w:p>
    <w:p>
      <w:r>
        <w:t>CoWoS and EMIB are key integration platforms.</w:t>
      </w:r>
    </w:p>
    <w:p>
      <w:r>
        <w:t>Hybrid bonding is critical for 3D stacking.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