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机票筛选Agent</w:t>
        <w:br/>
        <w:t>M9 FLIGGY Browser Acquisition Recovery U10</w:t>
      </w:r>
    </w:p>
    <w:p>
      <w:pPr>
        <w:jc w:val="center"/>
      </w:pPr>
      <w:r>
        <w:rPr>
          <w:b/>
          <w:sz w:val="26"/>
        </w:rPr>
        <w:t>Public Destination Wrapper Activation &amp; City-List Selection Repair</w:t>
        <w:br/>
        <w:t>Specification V1.0</w:t>
      </w:r>
    </w:p>
    <w:p>
      <w:pPr>
        <w:jc w:val="center"/>
      </w:pPr>
      <w:r>
        <w:rPr>
          <w:i/>
        </w:rPr>
        <w:t>状态：PROPOSED / RECOVERY / REQUIRES DOCUMENT ACCEPTANCE</w:t>
      </w:r>
    </w:p>
    <w:p>
      <w:pPr>
        <w:pStyle w:val="Heading1"/>
      </w:pPr>
      <w:r>
        <w:t>1. Unit Identity &amp; Authorization Basis</w:t>
      </w:r>
    </w:p>
    <w:tbl>
      <w:tblPr>
        <w:tblStyle w:val="TableGrid"/>
        <w:tblW w:type="auto" w:w="0"/>
        <w:tblLook w:firstColumn="1" w:firstRow="1" w:lastColumn="0" w:lastRow="0" w:noHBand="0" w:noVBand="1" w:val="04A0"/>
      </w:tblPr>
      <w:tblGrid>
        <w:gridCol w:w="5100"/>
        <w:gridCol w:w="5100"/>
      </w:tblGrid>
      <w:tr>
        <w:tc>
          <w:tcPr>
            <w:tcW w:type="dxa" w:w="5100"/>
            <w:shd w:fill="D9EAF7"/>
          </w:tcPr>
          <w:p>
            <w:r>
              <w:t>Item</w:t>
            </w:r>
          </w:p>
        </w:tc>
        <w:tc>
          <w:tcPr>
            <w:tcW w:type="dxa" w:w="5100"/>
            <w:shd w:fill="D9EAF7"/>
          </w:tcPr>
          <w:p>
            <w:r>
              <w:t>Value</w:t>
            </w:r>
          </w:p>
        </w:tc>
      </w:tr>
      <w:tr>
        <w:tc>
          <w:tcPr>
            <w:tcW w:type="dxa" w:w="5100"/>
          </w:tcPr>
          <w:p>
            <w:r>
              <w:t>Unit ID</w:t>
            </w:r>
          </w:p>
        </w:tc>
        <w:tc>
          <w:tcPr>
            <w:tcW w:type="dxa" w:w="5100"/>
          </w:tcPr>
          <w:p>
            <w:r>
              <w:t>M9-FLIGGY-BROWSER-ACQUISITION-RECOVERY-U10</w:t>
            </w:r>
          </w:p>
        </w:tc>
      </w:tr>
      <w:tr>
        <w:tc>
          <w:tcPr>
            <w:tcW w:type="dxa" w:w="5100"/>
          </w:tcPr>
          <w:p>
            <w:r>
              <w:t>Title</w:t>
            </w:r>
          </w:p>
        </w:tc>
        <w:tc>
          <w:tcPr>
            <w:tcW w:type="dxa" w:w="5100"/>
          </w:tcPr>
          <w:p>
            <w:r>
              <w:t>Public Destination Wrapper Activation &amp; City-List Selection Repair</w:t>
            </w:r>
          </w:p>
        </w:tc>
      </w:tr>
      <w:tr>
        <w:tc>
          <w:tcPr>
            <w:tcW w:type="dxa" w:w="5100"/>
          </w:tcPr>
          <w:p>
            <w:r>
              <w:t>Trigger</w:t>
            </w:r>
          </w:p>
        </w:tc>
        <w:tc>
          <w:tcPr>
            <w:tcW w:type="dxa" w:w="5100"/>
          </w:tcPr>
          <w:p>
            <w:r>
              <w:t>DIAG-U10-R1: PASS — PUBLIC WRAPPER ACTIVATION ROOT CAUSE LOCALIZED</w:t>
            </w:r>
          </w:p>
        </w:tc>
      </w:tr>
      <w:tr>
        <w:tc>
          <w:tcPr>
            <w:tcW w:type="dxa" w:w="5100"/>
          </w:tcPr>
          <w:p>
            <w:r>
              <w:t>Root class</w:t>
            </w:r>
          </w:p>
        </w:tc>
        <w:tc>
          <w:tcPr>
            <w:tcW w:type="dxa" w:w="5100"/>
          </w:tcPr>
          <w:p>
            <w:r>
              <w:t>PUBLIC_WRAPPER_ACTIVATION_LOCALIZED</w:t>
            </w:r>
          </w:p>
        </w:tc>
      </w:tr>
      <w:tr>
        <w:tc>
          <w:tcPr>
            <w:tcW w:type="dxa" w:w="5100"/>
          </w:tcPr>
          <w:p>
            <w:r>
              <w:t>DIAG-U10-R1 governance</w:t>
            </w:r>
          </w:p>
        </w:tc>
        <w:tc>
          <w:tcPr>
            <w:tcW w:type="dxa" w:w="5100"/>
          </w:tcPr>
          <w:p>
            <w:r>
              <w:t>8b66c101a711f9d44de96613051cc0f16ab119c1</w:t>
            </w:r>
          </w:p>
        </w:tc>
      </w:tr>
      <w:tr>
        <w:tc>
          <w:tcPr>
            <w:tcW w:type="dxa" w:w="5100"/>
          </w:tcPr>
          <w:p>
            <w:r>
              <w:t>DIAG-U10-R1 offline implementation</w:t>
            </w:r>
          </w:p>
        </w:tc>
        <w:tc>
          <w:tcPr>
            <w:tcW w:type="dxa" w:w="5100"/>
          </w:tcPr>
          <w:p>
            <w:r>
              <w:t>9cda4e581e16ef8e7489b7869fbdc4aecc41e0c0</w:t>
            </w:r>
          </w:p>
        </w:tc>
      </w:tr>
      <w:tr>
        <w:tc>
          <w:tcPr>
            <w:tcW w:type="dxa" w:w="5100"/>
          </w:tcPr>
          <w:p>
            <w:r>
              <w:t>REGION-04 exact-binding diagnostic commit</w:t>
            </w:r>
          </w:p>
        </w:tc>
        <w:tc>
          <w:tcPr>
            <w:tcW w:type="dxa" w:w="5100"/>
          </w:tcPr>
          <w:p>
            <w:r>
              <w:t>41ee85c9609e35fa8de192d6cd7d4dbc7aaea731</w:t>
            </w:r>
          </w:p>
        </w:tc>
      </w:tr>
      <w:tr>
        <w:tc>
          <w:tcPr>
            <w:tcW w:type="dxa" w:w="5100"/>
          </w:tcPr>
          <w:p>
            <w:r>
              <w:t>Proven wrapper</w:t>
            </w:r>
          </w:p>
        </w:tc>
        <w:tc>
          <w:tcPr>
            <w:tcW w:type="dxa" w:w="5100"/>
          </w:tcPr>
          <w:p>
            <w:r>
              <w:t>REGION-04 = `div.auto-input`</w:t>
            </w:r>
          </w:p>
        </w:tc>
      </w:tr>
      <w:tr>
        <w:tc>
          <w:tcPr>
            <w:tcW w:type="dxa" w:w="5100"/>
          </w:tcPr>
          <w:p>
            <w:r>
              <w:t>Previous direct target</w:t>
            </w:r>
          </w:p>
        </w:tc>
        <w:tc>
          <w:tcPr>
            <w:tcW w:type="dxa" w:w="5100"/>
          </w:tcPr>
          <w:p>
            <w:r>
              <w:t>REGION-00 = `input#form_arrCity`</w:t>
            </w:r>
          </w:p>
        </w:tc>
      </w:tr>
      <w:tr>
        <w:tc>
          <w:tcPr>
            <w:tcW w:type="dxa" w:w="5100"/>
          </w:tcPr>
          <w:p>
            <w:r>
              <w:t>Contract Amendment</w:t>
            </w:r>
          </w:p>
        </w:tc>
        <w:tc>
          <w:tcPr>
            <w:tcW w:type="dxa" w:w="5100"/>
          </w:tcPr>
          <w:p>
            <w:r>
              <w:t>NONE expected</w:t>
            </w:r>
          </w:p>
        </w:tc>
      </w:tr>
      <w:tr>
        <w:tc>
          <w:tcPr>
            <w:tcW w:type="dxa" w:w="5100"/>
          </w:tcPr>
          <w:p>
            <w:r>
              <w:t>Recovery-U11</w:t>
            </w:r>
          </w:p>
        </w:tc>
        <w:tc>
          <w:tcPr>
            <w:tcW w:type="dxa" w:w="5100"/>
          </w:tcPr>
          <w:p>
            <w:r>
              <w:t>NOT AUTHORIZED</w:t>
            </w:r>
          </w:p>
        </w:tc>
      </w:tr>
      <w:tr>
        <w:tc>
          <w:tcPr>
            <w:tcW w:type="dxa" w:w="5100"/>
          </w:tcPr>
          <w:p>
            <w:r>
              <w:t>Main integration</w:t>
            </w:r>
          </w:p>
        </w:tc>
        <w:tc>
          <w:tcPr>
            <w:tcW w:type="dxa" w:w="5100"/>
          </w:tcPr>
          <w:p>
            <w:r>
              <w:t>NOT AUTHORIZED</w:t>
            </w:r>
          </w:p>
        </w:tc>
      </w:tr>
    </w:tbl>
    <w:p>
      <w:pPr>
        <w:pStyle w:val="Heading1"/>
      </w:pPr>
      <w:r>
        <w:t>2. Evidence Baseline</w:t>
      </w:r>
    </w:p>
    <w:p>
      <w:r>
        <w:t>DIAG-U10-R1 established a causal public-interaction differential. REGION-04 is a `div.auto-input` wrapper and is not the same DOM element as `input#form_arrCity`. Although a center-point standard hit test resolves to the nested input, exactly one standard Playwright click on the REGION-04 wrapper immediately opened the public city-selector. Earlier DIAG-U10 evidence showed that direct interaction with the nested input can focus it without activating the selector.</w:t>
      </w:r>
    </w:p>
    <w:p>
      <w:r>
        <w:t>Human-supplied evidence independently confirms the normal FLIGGY golden path: click the city-value row (not the '到达城市' label), open the public city panel, then choose a city from the visible 热门城市 / alphabet-grouped city list. The observed panel has no destination search box. Human evidence visibly includes 上海. The existing diagnostic candidate enumerator returning zero therefore means the enumerator does not cover the current panel structure; it must not be interpreted as an empty panel.</w:t>
      </w:r>
    </w:p>
    <w:p>
      <w:pPr>
        <w:pStyle w:val="Heading1"/>
      </w:pPr>
      <w:r>
        <w:t>3. Recovery Goal</w:t>
      </w:r>
    </w:p>
    <w:p>
      <w:r>
        <w:t>Replace the incorrect provider-local destination activation path with the proven public wrapper interaction and implement conservative enumeration/selection of the current public city-list surface. After selecting the requested destination, preserve the existing destination readback/D9, date commitment, strict Q1, single public submit, result-context handling and strict Q5 contracts.</w:t>
      </w:r>
    </w:p>
    <w:p>
      <w:pPr>
        <w:pStyle w:val="ListBullet"/>
      </w:pPr>
      <w:r>
        <w:t>Use the public arrival-city wrapper equivalent to the proven REGION-04 / `div.auto-input` interaction target.</w:t>
      </w:r>
    </w:p>
    <w:p>
      <w:pPr>
        <w:pStyle w:val="ListBullet"/>
      </w:pPr>
      <w:r>
        <w:t>Observe the real public city selector before candidate selection.</w:t>
      </w:r>
    </w:p>
    <w:p>
      <w:pPr>
        <w:pStyle w:val="ListBullet"/>
      </w:pPr>
      <w:r>
        <w:t>Enumerate visible public city choices from the currently rendered panel, including 热门城市 and alphabet-grouped sections when present.</w:t>
      </w:r>
    </w:p>
    <w:p>
      <w:pPr>
        <w:pStyle w:val="ListBullet"/>
      </w:pPr>
      <w:r>
        <w:t>Match requested city by normalized visible city text with unique semantic matching; do not select by index or coordinates.</w:t>
      </w:r>
    </w:p>
    <w:p>
      <w:pPr>
        <w:pStyle w:val="ListBullet"/>
      </w:pPr>
      <w:r>
        <w:t>Click exactly one uniquely matched public city candidate.</w:t>
      </w:r>
    </w:p>
    <w:p>
      <w:pPr>
        <w:pStyle w:val="ListBullet"/>
      </w:pPr>
      <w:r>
        <w:t>Require stable destination readback/D9 and existing downstream gates before submit.</w:t>
      </w:r>
    </w:p>
    <w:p>
      <w:pPr>
        <w:pStyle w:val="Heading1"/>
      </w:pPr>
      <w:r>
        <w:t>4. U10 State Machine</w:t>
      </w:r>
    </w:p>
    <w:tbl>
      <w:tblPr>
        <w:tblStyle w:val="TableGrid"/>
        <w:tblW w:type="auto" w:w="0"/>
        <w:tblLook w:firstColumn="1" w:firstRow="1" w:lastColumn="0" w:lastRow="0" w:noHBand="0" w:noVBand="1" w:val="04A0"/>
      </w:tblPr>
      <w:tblGrid>
        <w:gridCol w:w="5100"/>
        <w:gridCol w:w="5100"/>
      </w:tblGrid>
      <w:tr>
        <w:tc>
          <w:tcPr>
            <w:tcW w:type="dxa" w:w="5100"/>
            <w:shd w:fill="D9EAF7"/>
          </w:tcPr>
          <w:p>
            <w:r>
              <w:t>Stage</w:t>
            </w:r>
          </w:p>
        </w:tc>
        <w:tc>
          <w:tcPr>
            <w:tcW w:type="dxa" w:w="5100"/>
            <w:shd w:fill="D9EAF7"/>
          </w:tcPr>
          <w:p>
            <w:r>
              <w:t>Contract</w:t>
            </w:r>
          </w:p>
        </w:tc>
      </w:tr>
      <w:tr>
        <w:tc>
          <w:tcPr>
            <w:tcW w:type="dxa" w:w="5100"/>
          </w:tcPr>
          <w:p>
            <w:r>
              <w:t>U10-R0 SOURCE_READY</w:t>
            </w:r>
          </w:p>
        </w:tc>
        <w:tc>
          <w:tcPr>
            <w:tcW w:type="dxa" w:w="5100"/>
          </w:tcPr>
          <w:p>
            <w:r>
              <w:t>Preserve existing Unicode-safe origin/destination/date input and readiness preconditions.</w:t>
            </w:r>
          </w:p>
        </w:tc>
      </w:tr>
      <w:tr>
        <w:tc>
          <w:tcPr>
            <w:tcW w:type="dxa" w:w="5100"/>
          </w:tcPr>
          <w:p>
            <w:r>
              <w:t>U10-R1 WRAPPER_BIND</w:t>
            </w:r>
          </w:p>
        </w:tc>
        <w:tc>
          <w:tcPr>
            <w:tcW w:type="dxa" w:w="5100"/>
          </w:tcPr>
          <w:p>
            <w:r>
              <w:t>Deterministically bind the public arrival-city activation wrapper; no broad ancestor guessing.</w:t>
            </w:r>
          </w:p>
        </w:tc>
      </w:tr>
      <w:tr>
        <w:tc>
          <w:tcPr>
            <w:tcW w:type="dxa" w:w="5100"/>
          </w:tcPr>
          <w:p>
            <w:r>
              <w:t>U10-R2 WRAPPER_ACTIVATE</w:t>
            </w:r>
          </w:p>
        </w:tc>
        <w:tc>
          <w:tcPr>
            <w:tcW w:type="dxa" w:w="5100"/>
          </w:tcPr>
          <w:p>
            <w:r>
              <w:t>Perform one legitimate standard click on the bound wrapper.</w:t>
            </w:r>
          </w:p>
        </w:tc>
      </w:tr>
      <w:tr>
        <w:tc>
          <w:tcPr>
            <w:tcW w:type="dxa" w:w="5100"/>
          </w:tcPr>
          <w:p>
            <w:r>
              <w:t>U10-R3 SELECTOR_READY</w:t>
            </w:r>
          </w:p>
        </w:tc>
        <w:tc>
          <w:tcPr>
            <w:tcW w:type="dxa" w:w="5100"/>
          </w:tcPr>
          <w:p>
            <w:r>
              <w:t>Require observable public city-selector surface before candidate enumeration.</w:t>
            </w:r>
          </w:p>
        </w:tc>
      </w:tr>
      <w:tr>
        <w:tc>
          <w:tcPr>
            <w:tcW w:type="dxa" w:w="5100"/>
          </w:tcPr>
          <w:p>
            <w:r>
              <w:t>U10-R4 CITY_ENUMERATE</w:t>
            </w:r>
          </w:p>
        </w:tc>
        <w:tc>
          <w:tcPr>
            <w:tcW w:type="dxa" w:w="5100"/>
          </w:tcPr>
          <w:p>
            <w:r>
              <w:t>Enumerate visible city candidates from current public panel structure; do not assume autocomplete/search.</w:t>
            </w:r>
          </w:p>
        </w:tc>
      </w:tr>
      <w:tr>
        <w:tc>
          <w:tcPr>
            <w:tcW w:type="dxa" w:w="5100"/>
          </w:tcPr>
          <w:p>
            <w:r>
              <w:t>U10-R5 UNIQUE_CITY_MATCH</w:t>
            </w:r>
          </w:p>
        </w:tc>
        <w:tc>
          <w:tcPr>
            <w:tcW w:type="dxa" w:w="5100"/>
          </w:tcPr>
          <w:p>
            <w:r>
              <w:t>Resolve requested city by visible-text semantic match; missing/ambiguous =&gt; block.</w:t>
            </w:r>
          </w:p>
        </w:tc>
      </w:tr>
      <w:tr>
        <w:tc>
          <w:tcPr>
            <w:tcW w:type="dxa" w:w="5100"/>
          </w:tcPr>
          <w:p>
            <w:r>
              <w:t>U10-R6 CITY_SELECT</w:t>
            </w:r>
          </w:p>
        </w:tc>
        <w:tc>
          <w:tcPr>
            <w:tcW w:type="dxa" w:w="5100"/>
          </w:tcPr>
          <w:p>
            <w:r>
              <w:t>Click exactly one uniquely matched public city candidate.</w:t>
            </w:r>
          </w:p>
        </w:tc>
      </w:tr>
      <w:tr>
        <w:tc>
          <w:tcPr>
            <w:tcW w:type="dxa" w:w="5100"/>
          </w:tcPr>
          <w:p>
            <w:r>
              <w:t>U10-R7 DEST_COMMIT</w:t>
            </w:r>
          </w:p>
        </w:tc>
        <w:tc>
          <w:tcPr>
            <w:tcW w:type="dxa" w:w="5100"/>
          </w:tcPr>
          <w:p>
            <w:r>
              <w:t>Require stable requested destination readback and existing D9/commit evidence.</w:t>
            </w:r>
          </w:p>
        </w:tc>
      </w:tr>
      <w:tr>
        <w:tc>
          <w:tcPr>
            <w:tcW w:type="dxa" w:w="5100"/>
          </w:tcPr>
          <w:p>
            <w:r>
              <w:t>U10-R8 DATE_Q1</w:t>
            </w:r>
          </w:p>
        </w:tc>
        <w:tc>
          <w:tcPr>
            <w:tcW w:type="dxa" w:w="5100"/>
          </w:tcPr>
          <w:p>
            <w:r>
              <w:t>Preserve date commit and strict pre-submit Q1.</w:t>
            </w:r>
          </w:p>
        </w:tc>
      </w:tr>
      <w:tr>
        <w:tc>
          <w:tcPr>
            <w:tcW w:type="dxa" w:w="5100"/>
          </w:tcPr>
          <w:p>
            <w:r>
              <w:t>U10-R9 PUBLIC_SUBMIT</w:t>
            </w:r>
          </w:p>
        </w:tc>
        <w:tc>
          <w:tcPr>
            <w:tcW w:type="dxa" w:w="5100"/>
          </w:tcPr>
          <w:p>
            <w:r>
              <w:t>Existing public submit exactly once; no retries.</w:t>
            </w:r>
          </w:p>
        </w:tc>
      </w:tr>
      <w:tr>
        <w:tc>
          <w:tcPr>
            <w:tcW w:type="dxa" w:w="5100"/>
          </w:tcPr>
          <w:p>
            <w:r>
              <w:t>U10-R10 RESULT_Q5</w:t>
            </w:r>
          </w:p>
        </w:tc>
        <w:tc>
          <w:tcPr>
            <w:tcW w:type="dxa" w:w="5100"/>
          </w:tcPr>
          <w:p>
            <w:r>
              <w:t>Preserve result-context handling and strict Q5 unchanged.</w:t>
            </w:r>
          </w:p>
        </w:tc>
      </w:tr>
    </w:tbl>
    <w:p>
      <w:pPr>
        <w:pStyle w:val="Heading1"/>
      </w:pPr>
      <w:r>
        <w:t>5. Wrapper Binding Contract</w:t>
      </w:r>
    </w:p>
    <w:p>
      <w:pPr>
        <w:pStyle w:val="ListBullet"/>
      </w:pPr>
      <w:r>
        <w:t>Binding must be provider-local and derived from the public destination control structure proven by DIAG-U10-R1.</w:t>
      </w:r>
    </w:p>
    <w:p>
      <w:pPr>
        <w:pStyle w:val="ListBullet"/>
      </w:pPr>
      <w:r>
        <w:t>`div.auto-input` may be used only with sufficient structural scoping to the arrival-city control; a generic first `.auto-input` locator is forbidden.</w:t>
      </w:r>
    </w:p>
    <w:p>
      <w:pPr>
        <w:pStyle w:val="ListBullet"/>
      </w:pPr>
      <w:r>
        <w:t>Do not hard-code REGION-04 as a runtime identifier; Region IDs were diagnostic artifacts.</w:t>
      </w:r>
    </w:p>
    <w:p>
      <w:pPr>
        <w:pStyle w:val="ListBullet"/>
      </w:pPr>
      <w:r>
        <w:t>Do not click the nested input as the activation action when the wrapper is available and uniquely bound.</w:t>
      </w:r>
    </w:p>
    <w:p>
      <w:pPr>
        <w:pStyle w:val="ListBullet"/>
      </w:pPr>
      <w:r>
        <w:t>Do not click the '到达城市' label, full card, arbitrary parent, or multiple ancestors as fallback.</w:t>
      </w:r>
    </w:p>
    <w:p>
      <w:pPr>
        <w:pStyle w:val="ListBullet"/>
      </w:pPr>
      <w:r>
        <w:t>Origin-city behavior may be regression-tested, but U10 production scope is the destination path unless a shared provider-local helper can be safely reused without expanding semantics.</w:t>
      </w:r>
    </w:p>
    <w:p>
      <w:pPr>
        <w:pStyle w:val="Heading1"/>
      </w:pPr>
      <w:r>
        <w:t>6. City Selector &amp; Candidate Contract</w:t>
      </w:r>
    </w:p>
    <w:p>
      <w:pPr>
        <w:pStyle w:val="ListBullet"/>
      </w:pPr>
      <w:r>
        <w:t>Selector readiness must be based on observable public panel/surface evidence, not candidate count alone.</w:t>
      </w:r>
    </w:p>
    <w:p>
      <w:pPr>
        <w:pStyle w:val="ListBullet"/>
      </w:pPr>
      <w:r>
        <w:t>Candidate enumeration must cover visible city choices in the current rendered public selector, including 热门城市 and alphabet-grouped sections/tabs when present.</w:t>
      </w:r>
    </w:p>
    <w:p>
      <w:pPr>
        <w:pStyle w:val="ListBullet"/>
      </w:pPr>
      <w:r>
        <w:t>No search/autocomplete input is required or assumed. Do not fabricate one.</w:t>
      </w:r>
    </w:p>
    <w:p>
      <w:pPr>
        <w:pStyle w:val="ListBullet"/>
      </w:pPr>
      <w:r>
        <w:t>City group headings/tabs such as 热门城市, ABCDE, FGHJ, KLMNP, QRSTW, XYZ are navigation/group metadata, not city candidates.</w:t>
      </w:r>
    </w:p>
    <w:p>
      <w:pPr>
        <w:pStyle w:val="ListBullet"/>
      </w:pPr>
      <w:r>
        <w:t>Candidate text normalization may trim whitespace and benign presentation characters only; do not invent aliases that change city identity.</w:t>
      </w:r>
    </w:p>
    <w:p>
      <w:pPr>
        <w:pStyle w:val="ListBullet"/>
      </w:pPr>
      <w:r>
        <w:t>Requested city must resolve uniquely. Zero matches =&gt; explicit missing-candidate block. Multiple semantic matches =&gt; explicit ambiguity block.</w:t>
      </w:r>
    </w:p>
    <w:p>
      <w:pPr>
        <w:pStyle w:val="ListBullet"/>
      </w:pPr>
      <w:r>
        <w:t>Never use candidate index, nth-child, visual coordinate, blind first option, 上海-specific special case, or hard-coded city ordering.</w:t>
      </w:r>
    </w:p>
    <w:p>
      <w:pPr>
        <w:pStyle w:val="ListBullet"/>
      </w:pPr>
      <w:r>
        <w:t>If the requested city is already visible in 热门城市, it may be selected directly. If not, the implementation may use the relevant public alphabet group only through deterministic visible public controls, then re-enumerate.</w:t>
      </w:r>
    </w:p>
    <w:p>
      <w:pPr>
        <w:pStyle w:val="Heading1"/>
      </w:pPr>
      <w:r>
        <w:t>7. Preserved Contracts</w:t>
      </w:r>
    </w:p>
    <w:p>
      <w:pPr>
        <w:pStyle w:val="ListBullet"/>
      </w:pPr>
      <w:r>
        <w:t>D0-D9 and destination stability semantics remain strict.</w:t>
      </w:r>
    </w:p>
    <w:p>
      <w:pPr>
        <w:pStyle w:val="ListBullet"/>
      </w:pPr>
      <w:r>
        <w:t>Date commit behavior remains unchanged unless minimal provider-local refactoring is necessary to preserve sequencing.</w:t>
      </w:r>
    </w:p>
    <w:p>
      <w:pPr>
        <w:pStyle w:val="ListBullet"/>
      </w:pPr>
      <w:r>
        <w:t>Q1 remains strict route/date pre-submit verification.</w:t>
      </w:r>
    </w:p>
    <w:p>
      <w:pPr>
        <w:pStyle w:val="ListBullet"/>
      </w:pPr>
      <w:r>
        <w:t>Public submit remains exactly once and only after destination/date commit + Q1.</w:t>
      </w:r>
    </w:p>
    <w:p>
      <w:pPr>
        <w:pStyle w:val="ListBullet"/>
      </w:pPr>
      <w:r>
        <w:t>P0-P7, H0-H8 and C0-C8 diagnostics/result-context evidence remain regression-safe.</w:t>
      </w:r>
    </w:p>
    <w:p>
      <w:pPr>
        <w:pStyle w:val="ListBullet"/>
      </w:pPr>
      <w:r>
        <w:t>Q5 remains strict requested route/date result identity. Default/stale query must never pass.</w:t>
      </w:r>
    </w:p>
    <w:p>
      <w:pPr>
        <w:pStyle w:val="ListBullet"/>
      </w:pPr>
      <w:r>
        <w:t>L1/L2 extraction, Mapper, Canonical, CommonNormalizer, Candidate Merger and shared contracts remain unchanged.</w:t>
      </w:r>
    </w:p>
    <w:p>
      <w:pPr>
        <w:pStyle w:val="Heading1"/>
      </w:pPr>
      <w:r>
        <w:t>8. Forbidden Scope</w:t>
      </w:r>
    </w:p>
    <w:p>
      <w:pPr>
        <w:pStyle w:val="ListBullet"/>
      </w:pPr>
      <w:r>
        <w:t>No JavaScript-forced click, dispatchEvent, DOM/style mutation, synthetic selector display, or private event-handler introspection.</w:t>
      </w:r>
    </w:p>
    <w:p>
      <w:pPr>
        <w:pStyle w:val="ListBullet"/>
      </w:pPr>
      <w:r>
        <w:t>No private API/request replay/interception, Cookie/session/localStorage/HAR/token/signature work.</w:t>
      </w:r>
    </w:p>
    <w:p>
      <w:pPr>
        <w:pStyle w:val="ListBullet"/>
      </w:pPr>
      <w:r>
        <w:t>No direct result URL construction/query injection.</w:t>
      </w:r>
    </w:p>
    <w:p>
      <w:pPr>
        <w:pStyle w:val="ListBullet"/>
      </w:pPr>
      <w:r>
        <w:t>No geolocation spoofing, CAPTCHA/access-control/anti-bot bypass.</w:t>
      </w:r>
    </w:p>
    <w:p>
      <w:pPr>
        <w:pStyle w:val="ListBullet"/>
      </w:pPr>
      <w:r>
        <w:t>No click-every-parent cascade, repeated submit, refresh loop or retry-until-success.</w:t>
      </w:r>
    </w:p>
    <w:p>
      <w:pPr>
        <w:pStyle w:val="ListBullet"/>
      </w:pPr>
      <w:r>
        <w:t>No production coordinate hard-coding or candidate-index selection.</w:t>
      </w:r>
    </w:p>
    <w:p>
      <w:pPr>
        <w:pStyle w:val="ListBullet"/>
      </w:pPr>
      <w:r>
        <w:t>No Q1/Q5 relaxation, fuzzy date acceptance or default-query acceptance.</w:t>
      </w:r>
    </w:p>
    <w:p>
      <w:pPr>
        <w:pStyle w:val="ListBullet"/>
      </w:pPr>
      <w:r>
        <w:t>No L1/L2 repair or shared contract change.</w:t>
      </w:r>
    </w:p>
    <w:p>
      <w:pPr>
        <w:pStyle w:val="ListBullet"/>
      </w:pPr>
      <w:r>
        <w:t>No Recovery-U11 and no main merge.</w:t>
      </w:r>
    </w:p>
    <w:p>
      <w:pPr>
        <w:pStyle w:val="Heading1"/>
      </w:pPr>
      <w:r>
        <w:t>9. Mandatory Offline Tests RU10-01..RU10-26</w:t>
      </w:r>
    </w:p>
    <w:tbl>
      <w:tblPr>
        <w:tblStyle w:val="TableGrid"/>
        <w:tblW w:type="auto" w:w="0"/>
        <w:tblLook w:firstColumn="1" w:firstRow="1" w:lastColumn="0" w:lastRow="0" w:noHBand="0" w:noVBand="1" w:val="04A0"/>
      </w:tblPr>
      <w:tblGrid>
        <w:gridCol w:w="5100"/>
        <w:gridCol w:w="5100"/>
      </w:tblGrid>
      <w:tr>
        <w:tc>
          <w:tcPr>
            <w:tcW w:type="dxa" w:w="5100"/>
            <w:shd w:fill="D9EAF7"/>
          </w:tcPr>
          <w:p>
            <w:r>
              <w:t>Test</w:t>
            </w:r>
          </w:p>
        </w:tc>
        <w:tc>
          <w:tcPr>
            <w:tcW w:type="dxa" w:w="5100"/>
            <w:shd w:fill="D9EAF7"/>
          </w:tcPr>
          <w:p>
            <w:r>
              <w:t>Required behavior</w:t>
            </w:r>
          </w:p>
        </w:tc>
      </w:tr>
      <w:tr>
        <w:tc>
          <w:tcPr>
            <w:tcW w:type="dxa" w:w="5100"/>
          </w:tcPr>
          <w:p>
            <w:r>
              <w:t>RU10-01</w:t>
            </w:r>
          </w:p>
        </w:tc>
        <w:tc>
          <w:tcPr>
            <w:tcW w:type="dxa" w:w="5100"/>
          </w:tcPr>
          <w:p>
            <w:r>
              <w:t>Arrival wrapper binds uniquely under destination control.</w:t>
            </w:r>
          </w:p>
        </w:tc>
      </w:tr>
      <w:tr>
        <w:tc>
          <w:tcPr>
            <w:tcW w:type="dxa" w:w="5100"/>
          </w:tcPr>
          <w:p>
            <w:r>
              <w:t>RU10-02</w:t>
            </w:r>
          </w:p>
        </w:tc>
        <w:tc>
          <w:tcPr>
            <w:tcW w:type="dxa" w:w="5100"/>
          </w:tcPr>
          <w:p>
            <w:r>
              <w:t>Generic first `.auto-input` is rejected when origin/destination wrappers coexist.</w:t>
            </w:r>
          </w:p>
        </w:tc>
      </w:tr>
      <w:tr>
        <w:tc>
          <w:tcPr>
            <w:tcW w:type="dxa" w:w="5100"/>
          </w:tcPr>
          <w:p>
            <w:r>
              <w:t>RU10-03</w:t>
            </w:r>
          </w:p>
        </w:tc>
        <w:tc>
          <w:tcPr>
            <w:tcW w:type="dxa" w:w="5100"/>
          </w:tcPr>
          <w:p>
            <w:r>
              <w:t>Wrapper activation is exactly one standard public click.</w:t>
            </w:r>
          </w:p>
        </w:tc>
      </w:tr>
      <w:tr>
        <w:tc>
          <w:tcPr>
            <w:tcW w:type="dxa" w:w="5100"/>
          </w:tcPr>
          <w:p>
            <w:r>
              <w:t>RU10-04</w:t>
            </w:r>
          </w:p>
        </w:tc>
        <w:tc>
          <w:tcPr>
            <w:tcW w:type="dxa" w:w="5100"/>
          </w:tcPr>
          <w:p>
            <w:r>
              <w:t>Nested input direct-click is not used as U10 activation path.</w:t>
            </w:r>
          </w:p>
        </w:tc>
      </w:tr>
      <w:tr>
        <w:tc>
          <w:tcPr>
            <w:tcW w:type="dxa" w:w="5100"/>
          </w:tcPr>
          <w:p>
            <w:r>
              <w:t>RU10-05</w:t>
            </w:r>
          </w:p>
        </w:tc>
        <w:tc>
          <w:tcPr>
            <w:tcW w:type="dxa" w:w="5100"/>
          </w:tcPr>
          <w:p>
            <w:r>
              <w:t>Selector readiness succeeds when panel visible even before candidate enumeration.</w:t>
            </w:r>
          </w:p>
        </w:tc>
      </w:tr>
      <w:tr>
        <w:tc>
          <w:tcPr>
            <w:tcW w:type="dxa" w:w="5100"/>
          </w:tcPr>
          <w:p>
            <w:r>
              <w:t>RU10-06</w:t>
            </w:r>
          </w:p>
        </w:tc>
        <w:tc>
          <w:tcPr>
            <w:tcW w:type="dxa" w:w="5100"/>
          </w:tcPr>
          <w:p>
            <w:r>
              <w:t>Selector absent =&gt; explicit readiness failure; no blind candidate click.</w:t>
            </w:r>
          </w:p>
        </w:tc>
      </w:tr>
      <w:tr>
        <w:tc>
          <w:tcPr>
            <w:tcW w:type="dxa" w:w="5100"/>
          </w:tcPr>
          <w:p>
            <w:r>
              <w:t>RU10-07</w:t>
            </w:r>
          </w:p>
        </w:tc>
        <w:tc>
          <w:tcPr>
            <w:tcW w:type="dxa" w:w="5100"/>
          </w:tcPr>
          <w:p>
            <w:r>
              <w:t>热门城市 visible city nodes enumerate correctly.</w:t>
            </w:r>
          </w:p>
        </w:tc>
      </w:tr>
      <w:tr>
        <w:tc>
          <w:tcPr>
            <w:tcW w:type="dxa" w:w="5100"/>
          </w:tcPr>
          <w:p>
            <w:r>
              <w:t>RU10-08</w:t>
            </w:r>
          </w:p>
        </w:tc>
        <w:tc>
          <w:tcPr>
            <w:tcW w:type="dxa" w:w="5100"/>
          </w:tcPr>
          <w:p>
            <w:r>
              <w:t>Alphabet-grouped visible city nodes enumerate correctly.</w:t>
            </w:r>
          </w:p>
        </w:tc>
      </w:tr>
      <w:tr>
        <w:tc>
          <w:tcPr>
            <w:tcW w:type="dxa" w:w="5100"/>
          </w:tcPr>
          <w:p>
            <w:r>
              <w:t>RU10-09</w:t>
            </w:r>
          </w:p>
        </w:tc>
        <w:tc>
          <w:tcPr>
            <w:tcW w:type="dxa" w:w="5100"/>
          </w:tcPr>
          <w:p>
            <w:r>
              <w:t>Group headings/tabs are excluded from city candidates.</w:t>
            </w:r>
          </w:p>
        </w:tc>
      </w:tr>
      <w:tr>
        <w:tc>
          <w:tcPr>
            <w:tcW w:type="dxa" w:w="5100"/>
          </w:tcPr>
          <w:p>
            <w:r>
              <w:t>RU10-10</w:t>
            </w:r>
          </w:p>
        </w:tc>
        <w:tc>
          <w:tcPr>
            <w:tcW w:type="dxa" w:w="5100"/>
          </w:tcPr>
          <w:p>
            <w:r>
              <w:t>Visible 上海 resolves uniquely and is clicked once.</w:t>
            </w:r>
          </w:p>
        </w:tc>
      </w:tr>
      <w:tr>
        <w:tc>
          <w:tcPr>
            <w:tcW w:type="dxa" w:w="5100"/>
          </w:tcPr>
          <w:p>
            <w:r>
              <w:t>RU10-11</w:t>
            </w:r>
          </w:p>
        </w:tc>
        <w:tc>
          <w:tcPr>
            <w:tcW w:type="dxa" w:w="5100"/>
          </w:tcPr>
          <w:p>
            <w:r>
              <w:t>Non-上海 city fixture resolves without special-case logic.</w:t>
            </w:r>
          </w:p>
        </w:tc>
      </w:tr>
      <w:tr>
        <w:tc>
          <w:tcPr>
            <w:tcW w:type="dxa" w:w="5100"/>
          </w:tcPr>
          <w:p>
            <w:r>
              <w:t>RU10-12</w:t>
            </w:r>
          </w:p>
        </w:tc>
        <w:tc>
          <w:tcPr>
            <w:tcW w:type="dxa" w:w="5100"/>
          </w:tcPr>
          <w:p>
            <w:r>
              <w:t>Missing requested city blocks without fallback.</w:t>
            </w:r>
          </w:p>
        </w:tc>
      </w:tr>
      <w:tr>
        <w:tc>
          <w:tcPr>
            <w:tcW w:type="dxa" w:w="5100"/>
          </w:tcPr>
          <w:p>
            <w:r>
              <w:t>RU10-13</w:t>
            </w:r>
          </w:p>
        </w:tc>
        <w:tc>
          <w:tcPr>
            <w:tcW w:type="dxa" w:w="5100"/>
          </w:tcPr>
          <w:p>
            <w:r>
              <w:t>Duplicate/ambiguous city text blocks without guessing.</w:t>
            </w:r>
          </w:p>
        </w:tc>
      </w:tr>
      <w:tr>
        <w:tc>
          <w:tcPr>
            <w:tcW w:type="dxa" w:w="5100"/>
          </w:tcPr>
          <w:p>
            <w:r>
              <w:t>RU10-14</w:t>
            </w:r>
          </w:p>
        </w:tc>
        <w:tc>
          <w:tcPr>
            <w:tcW w:type="dxa" w:w="5100"/>
          </w:tcPr>
          <w:p>
            <w:r>
              <w:t>Whitespace/presentation normalization preserves identity.</w:t>
            </w:r>
          </w:p>
        </w:tc>
      </w:tr>
      <w:tr>
        <w:tc>
          <w:tcPr>
            <w:tcW w:type="dxa" w:w="5100"/>
          </w:tcPr>
          <w:p>
            <w:r>
              <w:t>RU10-15</w:t>
            </w:r>
          </w:p>
        </w:tc>
        <w:tc>
          <w:tcPr>
            <w:tcW w:type="dxa" w:w="5100"/>
          </w:tcPr>
          <w:p>
            <w:r>
              <w:t>No candidate-index/nth-child/coordinate selection.</w:t>
            </w:r>
          </w:p>
        </w:tc>
      </w:tr>
      <w:tr>
        <w:tc>
          <w:tcPr>
            <w:tcW w:type="dxa" w:w="5100"/>
          </w:tcPr>
          <w:p>
            <w:r>
              <w:t>RU10-16</w:t>
            </w:r>
          </w:p>
        </w:tc>
        <w:tc>
          <w:tcPr>
            <w:tcW w:type="dxa" w:w="5100"/>
          </w:tcPr>
          <w:p>
            <w:r>
              <w:t>If city requires alphabet group, deterministic public group selection then re-enumeration is bounded.</w:t>
            </w:r>
          </w:p>
        </w:tc>
      </w:tr>
      <w:tr>
        <w:tc>
          <w:tcPr>
            <w:tcW w:type="dxa" w:w="5100"/>
          </w:tcPr>
          <w:p>
            <w:r>
              <w:t>RU10-17</w:t>
            </w:r>
          </w:p>
        </w:tc>
        <w:tc>
          <w:tcPr>
            <w:tcW w:type="dxa" w:w="5100"/>
          </w:tcPr>
          <w:p>
            <w:r>
              <w:t>Wrong post-selection readback blocks destination commit.</w:t>
            </w:r>
          </w:p>
        </w:tc>
      </w:tr>
      <w:tr>
        <w:tc>
          <w:tcPr>
            <w:tcW w:type="dxa" w:w="5100"/>
          </w:tcPr>
          <w:p>
            <w:r>
              <w:t>RU10-18</w:t>
            </w:r>
          </w:p>
        </w:tc>
        <w:tc>
          <w:tcPr>
            <w:tcW w:type="dxa" w:w="5100"/>
          </w:tcPr>
          <w:p>
            <w:r>
              <w:t>Correct stable readback preserves D9.</w:t>
            </w:r>
          </w:p>
        </w:tc>
      </w:tr>
      <w:tr>
        <w:tc>
          <w:tcPr>
            <w:tcW w:type="dxa" w:w="5100"/>
          </w:tcPr>
          <w:p>
            <w:r>
              <w:t>RU10-19</w:t>
            </w:r>
          </w:p>
        </w:tc>
        <w:tc>
          <w:tcPr>
            <w:tcW w:type="dxa" w:w="5100"/>
          </w:tcPr>
          <w:p>
            <w:r>
              <w:t>Date commit preserved.</w:t>
            </w:r>
          </w:p>
        </w:tc>
      </w:tr>
      <w:tr>
        <w:tc>
          <w:tcPr>
            <w:tcW w:type="dxa" w:w="5100"/>
          </w:tcPr>
          <w:p>
            <w:r>
              <w:t>RU10-20</w:t>
            </w:r>
          </w:p>
        </w:tc>
        <w:tc>
          <w:tcPr>
            <w:tcW w:type="dxa" w:w="5100"/>
          </w:tcPr>
          <w:p>
            <w:r>
              <w:t>Strict Q1 preserved.</w:t>
            </w:r>
          </w:p>
        </w:tc>
      </w:tr>
      <w:tr>
        <w:tc>
          <w:tcPr>
            <w:tcW w:type="dxa" w:w="5100"/>
          </w:tcPr>
          <w:p>
            <w:r>
              <w:t>RU10-21</w:t>
            </w:r>
          </w:p>
        </w:tc>
        <w:tc>
          <w:tcPr>
            <w:tcW w:type="dxa" w:w="5100"/>
          </w:tcPr>
          <w:p>
            <w:r>
              <w:t>Submit cannot execute before destination/date/Q1 gates.</w:t>
            </w:r>
          </w:p>
        </w:tc>
      </w:tr>
      <w:tr>
        <w:tc>
          <w:tcPr>
            <w:tcW w:type="dxa" w:w="5100"/>
          </w:tcPr>
          <w:p>
            <w:r>
              <w:t>RU10-22</w:t>
            </w:r>
          </w:p>
        </w:tc>
        <w:tc>
          <w:tcPr>
            <w:tcW w:type="dxa" w:w="5100"/>
          </w:tcPr>
          <w:p>
            <w:r>
              <w:t>Public submit executes at most once.</w:t>
            </w:r>
          </w:p>
        </w:tc>
      </w:tr>
      <w:tr>
        <w:tc>
          <w:tcPr>
            <w:tcW w:type="dxa" w:w="5100"/>
          </w:tcPr>
          <w:p>
            <w:r>
              <w:t>RU10-23</w:t>
            </w:r>
          </w:p>
        </w:tc>
        <w:tc>
          <w:tcPr>
            <w:tcW w:type="dxa" w:w="5100"/>
          </w:tcPr>
          <w:p>
            <w:r>
              <w:t>Strict Q5/default-stale rejection preserved.</w:t>
            </w:r>
          </w:p>
        </w:tc>
      </w:tr>
      <w:tr>
        <w:tc>
          <w:tcPr>
            <w:tcW w:type="dxa" w:w="5100"/>
          </w:tcPr>
          <w:p>
            <w:r>
              <w:t>RU10-24</w:t>
            </w:r>
          </w:p>
        </w:tc>
        <w:tc>
          <w:tcPr>
            <w:tcW w:type="dxa" w:w="5100"/>
          </w:tcPr>
          <w:p>
            <w:r>
              <w:t>L1/L2/shared contracts untouched.</w:t>
            </w:r>
          </w:p>
        </w:tc>
      </w:tr>
      <w:tr>
        <w:tc>
          <w:tcPr>
            <w:tcW w:type="dxa" w:w="5100"/>
          </w:tcPr>
          <w:p>
            <w:r>
              <w:t>RU10-25</w:t>
            </w:r>
          </w:p>
        </w:tc>
        <w:tc>
          <w:tcPr>
            <w:tcW w:type="dxa" w:w="5100"/>
          </w:tcPr>
          <w:p>
            <w:r>
              <w:t>Unicode-safe preflight and sanitized evidence preserved.</w:t>
            </w:r>
          </w:p>
        </w:tc>
      </w:tr>
      <w:tr>
        <w:tc>
          <w:tcPr>
            <w:tcW w:type="dxa" w:w="5100"/>
          </w:tcPr>
          <w:p>
            <w:r>
              <w:t>RU10-26</w:t>
            </w:r>
          </w:p>
        </w:tc>
        <w:tc>
          <w:tcPr>
            <w:tcW w:type="dxa" w:w="5100"/>
          </w:tcPr>
          <w:p>
            <w:r>
              <w:t>No forbidden workaround appears in source/tests.</w:t>
            </w:r>
          </w:p>
        </w:tc>
      </w:tr>
    </w:tbl>
    <w:p>
      <w:pPr>
        <w:pStyle w:val="Heading1"/>
      </w:pPr>
      <w:r>
        <w:t>10. Offline Recovery Verdicts</w:t>
      </w:r>
    </w:p>
    <w:p>
      <w:pPr>
        <w:pStyle w:val="ListBullet"/>
      </w:pPr>
      <w:r>
        <w:t>`PASS — PUBLIC DESTINATION WRAPPER AND CITY-LIST SELECTION REPAIR IMPLEMENTED / LIVE REVALIDATION READY`</w:t>
      </w:r>
    </w:p>
    <w:p>
      <w:pPr>
        <w:pStyle w:val="ListBullet"/>
      </w:pPr>
      <w:r>
        <w:t>`BLOCKED — PUBLIC DESTINATION WRAPPER BINDING GAP REMAINS`</w:t>
      </w:r>
    </w:p>
    <w:p>
      <w:pPr>
        <w:pStyle w:val="ListBullet"/>
      </w:pPr>
      <w:r>
        <w:t>`BLOCKED — PUBLIC CITY-LIST ENUMERATION GAP REMAINS`</w:t>
      </w:r>
    </w:p>
    <w:p>
      <w:pPr>
        <w:pStyle w:val="ListBullet"/>
      </w:pPr>
      <w:r>
        <w:t>`BLOCKED — PUBLIC CITY MATCH AMBIGUITY REMAINS`</w:t>
      </w:r>
    </w:p>
    <w:p>
      <w:pPr>
        <w:pStyle w:val="ListBullet"/>
      </w:pPr>
      <w:r>
        <w:t>`CONTRACT AMENDMENT REQUIRED`</w:t>
      </w:r>
    </w:p>
    <w:p>
      <w:r>
        <w:t>Recovery Execution performs no live provider access. PASS requires tests/gates, self-review, commit, push, remote verification and clean working tree, then STOP.</w:t>
      </w:r>
    </w:p>
    <w:p>
      <w:pPr>
        <w:pStyle w:val="Heading1"/>
      </w:pPr>
      <w:r>
        <w:t>11. Bounded Live Revalidation</w:t>
      </w:r>
    </w:p>
    <w:p>
      <w:pPr>
        <w:pStyle w:val="ListBullet"/>
      </w:pPr>
      <w:r>
        <w:t>Run only after offline Recovery PASS and remote-clean verification.</w:t>
      </w:r>
    </w:p>
    <w:p>
      <w:pPr>
        <w:pStyle w:val="ListBullet"/>
      </w:pPr>
      <w:r>
        <w:t>Budget: maximum headed 3 + headless 2, total &lt;=5 valid planned observations; retries=0.</w:t>
      </w:r>
    </w:p>
    <w:p>
      <w:pPr>
        <w:pStyle w:val="ListBullet"/>
      </w:pPr>
      <w:r>
        <w:t>Primary target: 北京 → 上海 / 2026-09-14, Unicode-safe.</w:t>
      </w:r>
    </w:p>
    <w:p>
      <w:pPr>
        <w:pStyle w:val="ListBullet"/>
      </w:pPr>
      <w:r>
        <w:t>Prefer headed first because selector/city-list structure is visual and was proven headed.</w:t>
      </w:r>
    </w:p>
    <w:p>
      <w:pPr>
        <w:pStyle w:val="ListBullet"/>
      </w:pPr>
      <w:r>
        <w:t>Each valid run records wrapper binding, selector readiness, candidate count, whether 上海 is visible/resolved, selected candidate text, post-selection D9/readback, date commit, Q1, submit count, result-context/Q5.</w:t>
      </w:r>
    </w:p>
    <w:p>
      <w:pPr>
        <w:pStyle w:val="ListBullet"/>
      </w:pPr>
      <w:r>
        <w:t>Early stop on a deterministic blocker or once both-mode result-query identity is sufficiently proven.</w:t>
      </w:r>
    </w:p>
    <w:p>
      <w:pPr>
        <w:pStyle w:val="ListBullet"/>
      </w:pPr>
      <w:r>
        <w:t>No human click may complete the automated chain. Human screenshots are supporting evidence only.</w:t>
      </w:r>
    </w:p>
    <w:p>
      <w:pPr>
        <w:pStyle w:val="ListBullet"/>
      </w:pPr>
      <w:r>
        <w:t>L1 may be recorded only if naturally reached after Q5; do not repair or expand L1 in U10.</w:t>
      </w:r>
    </w:p>
    <w:p>
      <w:pPr>
        <w:pStyle w:val="Heading1"/>
      </w:pPr>
      <w:r>
        <w:t>12. Live Success Ladder &amp; Verdicts</w:t>
      </w:r>
    </w:p>
    <w:tbl>
      <w:tblPr>
        <w:tblStyle w:val="TableGrid"/>
        <w:tblW w:type="auto" w:w="0"/>
        <w:tblLook w:firstColumn="1" w:firstRow="1" w:lastColumn="0" w:lastRow="0" w:noHBand="0" w:noVBand="1" w:val="04A0"/>
      </w:tblPr>
      <w:tblGrid>
        <w:gridCol w:w="5100"/>
        <w:gridCol w:w="5100"/>
      </w:tblGrid>
      <w:tr>
        <w:tc>
          <w:tcPr>
            <w:tcW w:type="dxa" w:w="5100"/>
            <w:shd w:fill="D9EAF7"/>
          </w:tcPr>
          <w:p>
            <w:r>
              <w:t>Level</w:t>
            </w:r>
          </w:p>
        </w:tc>
        <w:tc>
          <w:tcPr>
            <w:tcW w:type="dxa" w:w="5100"/>
            <w:shd w:fill="D9EAF7"/>
          </w:tcPr>
          <w:p>
            <w:r>
              <w:t>Required proof</w:t>
            </w:r>
          </w:p>
        </w:tc>
      </w:tr>
      <w:tr>
        <w:tc>
          <w:tcPr>
            <w:tcW w:type="dxa" w:w="5100"/>
          </w:tcPr>
          <w:p>
            <w:r>
              <w:t>L0</w:t>
            </w:r>
          </w:p>
        </w:tc>
        <w:tc>
          <w:tcPr>
            <w:tcW w:type="dxa" w:w="5100"/>
          </w:tcPr>
          <w:p>
            <w:r>
              <w:t>Wrapper uniquely bound and public selector opens.</w:t>
            </w:r>
          </w:p>
        </w:tc>
      </w:tr>
      <w:tr>
        <w:tc>
          <w:tcPr>
            <w:tcW w:type="dxa" w:w="5100"/>
          </w:tcPr>
          <w:p>
            <w:r>
              <w:t>L1</w:t>
            </w:r>
          </w:p>
        </w:tc>
        <w:tc>
          <w:tcPr>
            <w:tcW w:type="dxa" w:w="5100"/>
          </w:tcPr>
          <w:p>
            <w:r>
              <w:t>Public city list enumerated and requested 上海 uniquely resolved.</w:t>
            </w:r>
          </w:p>
        </w:tc>
      </w:tr>
      <w:tr>
        <w:tc>
          <w:tcPr>
            <w:tcW w:type="dxa" w:w="5100"/>
          </w:tcPr>
          <w:p>
            <w:r>
              <w:t>L2</w:t>
            </w:r>
          </w:p>
        </w:tc>
        <w:tc>
          <w:tcPr>
            <w:tcW w:type="dxa" w:w="5100"/>
          </w:tcPr>
          <w:p>
            <w:r>
              <w:t>上海 clicked once; stable destination readback/D9 confirms 上海.</w:t>
            </w:r>
          </w:p>
        </w:tc>
      </w:tr>
      <w:tr>
        <w:tc>
          <w:tcPr>
            <w:tcW w:type="dxa" w:w="5100"/>
          </w:tcPr>
          <w:p>
            <w:r>
              <w:t>L3</w:t>
            </w:r>
          </w:p>
        </w:tc>
        <w:tc>
          <w:tcPr>
            <w:tcW w:type="dxa" w:w="5100"/>
          </w:tcPr>
          <w:p>
            <w:r>
              <w:t>Date commit + strict Q1 confirm 北京→上海 / 2026-09-14.</w:t>
            </w:r>
          </w:p>
        </w:tc>
      </w:tr>
      <w:tr>
        <w:tc>
          <w:tcPr>
            <w:tcW w:type="dxa" w:w="5100"/>
          </w:tcPr>
          <w:p>
            <w:r>
              <w:t>L4</w:t>
            </w:r>
          </w:p>
        </w:tc>
        <w:tc>
          <w:tcPr>
            <w:tcW w:type="dxa" w:w="5100"/>
          </w:tcPr>
          <w:p>
            <w:r>
              <w:t>Public submit once; provider-created result context reaches strict Q5 for 北京→上海 / 2026-09-14.</w:t>
            </w:r>
          </w:p>
        </w:tc>
      </w:tr>
      <w:tr>
        <w:tc>
          <w:tcPr>
            <w:tcW w:type="dxa" w:w="5100"/>
          </w:tcPr>
          <w:p>
            <w:r>
              <w:t>L5</w:t>
            </w:r>
          </w:p>
        </w:tc>
        <w:tc>
          <w:tcPr>
            <w:tcW w:type="dxa" w:w="5100"/>
          </w:tcPr>
          <w:p>
            <w:r>
              <w:t>L1 flight evidence naturally visible after Q5 (optional for U10 success).</w:t>
            </w:r>
          </w:p>
        </w:tc>
      </w:tr>
    </w:tbl>
    <w:p>
      <w:pPr>
        <w:pStyle w:val="ListBullet"/>
      </w:pPr>
      <w:r>
        <w:t>`PASS — PUBLIC DESTINATION CITY-LIST COMMIT VERIFIED` (through L3, if result access is independently inconclusive).</w:t>
      </w:r>
    </w:p>
    <w:p>
      <w:pPr>
        <w:pStyle w:val="ListBullet"/>
      </w:pPr>
      <w:r>
        <w:t>`PASS — END-TO-END RESULT QUERY IDENTITY VERIFIED` (L4 in at least one valid mode).</w:t>
      </w:r>
    </w:p>
    <w:p>
      <w:pPr>
        <w:pStyle w:val="ListBullet"/>
      </w:pPr>
      <w:r>
        <w:t>`PASS — BOTH-MODE RESULT QUERY IDENTITY VERIFIED` (L4 in headed and headless).</w:t>
      </w:r>
    </w:p>
    <w:p>
      <w:pPr>
        <w:pStyle w:val="ListBullet"/>
      </w:pPr>
      <w:r>
        <w:t>`BLOCKED — PUBLIC WRAPPER ACTIVATION GAP REMAINS`</w:t>
      </w:r>
    </w:p>
    <w:p>
      <w:pPr>
        <w:pStyle w:val="ListBullet"/>
      </w:pPr>
      <w:r>
        <w:t>`BLOCKED — PUBLIC CITY-LIST ENUMERATION GAP REMAINS`</w:t>
      </w:r>
    </w:p>
    <w:p>
      <w:pPr>
        <w:pStyle w:val="ListBullet"/>
      </w:pPr>
      <w:r>
        <w:t>`BLOCKED — PUBLIC CITY SELECTION/COMMIT GAP REMAINS`</w:t>
      </w:r>
    </w:p>
    <w:p>
      <w:pPr>
        <w:pStyle w:val="ListBullet"/>
      </w:pPr>
      <w:r>
        <w:t>`BLOCKED — RESULT QUERY IDENTITY GAP REMAINS`</w:t>
      </w:r>
    </w:p>
    <w:p>
      <w:pPr>
        <w:pStyle w:val="ListBullet"/>
      </w:pPr>
      <w:r>
        <w:t>`INCONCLUSIVE — LIVE ENVIRONMENT/NETWORK EVIDENCE INSUFFICIENT`</w:t>
      </w:r>
    </w:p>
    <w:p>
      <w:pPr>
        <w:pStyle w:val="ListBullet"/>
      </w:pPr>
      <w:r>
        <w:t>`BLOCKED — ACCESS_CHALLENGE`</w:t>
      </w:r>
    </w:p>
    <w:p>
      <w:pPr>
        <w:pStyle w:val="Heading1"/>
      </w:pPr>
      <w:r>
        <w:t>13. STOP Boundary &amp; Next Decision</w:t>
      </w:r>
    </w:p>
    <w:p>
      <w:r>
        <w:t>After live verdict STOP. Recovery-U11 is not automatically authorized. If U10 reaches strict Q5 with requested route/date, the long-running Search Input/Commit blocker is considered resolved for that evidence run. The next separately authorized action should then be a narrow L1 Discovery/Revalidation Unit rather than another destination recovery. If U10 blocks before Q5, the next Unit must be chosen from the exact furthest-proven stage and evidence; do not automatically reopen prior hypotheses.</w:t>
      </w:r>
    </w:p>
    <w:sectPr w:rsidR="00FC693F" w:rsidRPr="0006063C" w:rsidSect="00034616">
      <w:pgSz w:w="12240" w:h="15840"/>
      <w:pgMar w:top="879"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