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机票筛选 Agent</w:t>
        <w:br/>
        <w:t>M9-FLIGGY-LEVEL2-MAPPER-U1</w:t>
      </w:r>
    </w:p>
    <w:p>
      <w:pPr>
        <w:jc w:val="center"/>
      </w:pPr>
      <w:r>
        <w:rPr>
          <w:sz w:val="21"/>
        </w:rPr>
        <w:t>Sanitized Expanded Offer Evidence → Existing Mapped Offer Semantics</w:t>
        <w:br/>
        <w:t>Implementation Unit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Field</w:t>
            </w:r>
          </w:p>
        </w:tc>
        <w:tc>
          <w:tcPr>
            <w:tcW w:type="dxa" w:w="5141"/>
          </w:tcPr>
          <w:p>
            <w:r>
              <w:t>Value</w:t>
            </w:r>
          </w:p>
        </w:tc>
      </w:tr>
      <w:tr>
        <w:tc>
          <w:tcPr>
            <w:tcW w:type="dxa" w:w="5141"/>
            <w:vAlign w:val="top"/>
          </w:tcPr>
          <w:p>
            <w:r>
              <w:t>Unit ID</w:t>
            </w:r>
          </w:p>
        </w:tc>
        <w:tc>
          <w:tcPr>
            <w:tcW w:type="dxa" w:w="5141"/>
            <w:vAlign w:val="top"/>
          </w:tcPr>
          <w:p>
            <w:r>
              <w:t>M9-FLIGGY-LEVEL2-MAPPER-U1</w:t>
            </w:r>
          </w:p>
        </w:tc>
      </w:tr>
      <w:tr>
        <w:tc>
          <w:tcPr>
            <w:tcW w:type="dxa" w:w="5141"/>
            <w:vAlign w:val="top"/>
          </w:tcPr>
          <w:p>
            <w:r>
              <w:t>Provider</w:t>
            </w:r>
          </w:p>
        </w:tc>
        <w:tc>
          <w:tcPr>
            <w:tcW w:type="dxa" w:w="5141"/>
            <w:vAlign w:val="top"/>
          </w:tcPr>
          <w:p>
            <w:r>
              <w:t>FLIGGY</w:t>
            </w:r>
          </w:p>
        </w:tc>
      </w:tr>
      <w:tr>
        <w:tc>
          <w:tcPr>
            <w:tcW w:type="dxa" w:w="5141"/>
            <w:vAlign w:val="top"/>
          </w:tcPr>
          <w:p>
            <w:r>
              <w:t>Unit Type</w:t>
            </w:r>
          </w:p>
        </w:tc>
        <w:tc>
          <w:tcPr>
            <w:tcW w:type="dxa" w:w="5141"/>
            <w:vAlign w:val="top"/>
          </w:tcPr>
          <w:p>
            <w:r>
              <w:t>Provider-local Mapper Implementation Unit</w:t>
            </w:r>
          </w:p>
        </w:tc>
      </w:tr>
      <w:tr>
        <w:tc>
          <w:tcPr>
            <w:tcW w:type="dxa" w:w="5141"/>
            <w:vAlign w:val="top"/>
          </w:tcPr>
          <w:p>
            <w:r>
              <w:t>Input</w:t>
            </w:r>
          </w:p>
        </w:tc>
        <w:tc>
          <w:tcPr>
            <w:tcW w:type="dxa" w:w="5141"/>
            <w:vAlign w:val="top"/>
          </w:tcPr>
          <w:p>
            <w:r>
              <w:t>Accepted sanitized FLIGGY Level-2 expanded-offer Evidence only</w:t>
            </w:r>
          </w:p>
        </w:tc>
      </w:tr>
      <w:tr>
        <w:tc>
          <w:tcPr>
            <w:tcW w:type="dxa" w:w="5141"/>
            <w:vAlign w:val="top"/>
          </w:tcPr>
          <w:p>
            <w:r>
              <w:t>Output</w:t>
            </w:r>
          </w:p>
        </w:tc>
        <w:tc>
          <w:tcPr>
            <w:tcW w:type="dxa" w:w="5141"/>
            <w:vAlign w:val="top"/>
          </w:tcPr>
          <w:p>
            <w:r>
              <w:t>Existing M4 Mapped semantics, primarily MappedOffer plus existing provenance/issues/statistics</w:t>
            </w:r>
          </w:p>
        </w:tc>
      </w:tr>
      <w:tr>
        <w:tc>
          <w:tcPr>
            <w:tcW w:type="dxa" w:w="5141"/>
            <w:vAlign w:val="top"/>
          </w:tcPr>
          <w:p>
            <w:r>
              <w:t>Audit Authority</w:t>
            </w:r>
          </w:p>
        </w:tc>
        <w:tc>
          <w:tcPr>
            <w:tcW w:type="dxa" w:w="5141"/>
            <w:vAlign w:val="top"/>
          </w:tcPr>
          <w:p>
            <w:r>
              <w:t>M9-FLIGGY-LEVEL2-MAPPING-AUDIT-U1 — PASS WITH PRESERVED EVIDENCE-ONLY FIELDS</w:t>
            </w:r>
          </w:p>
        </w:tc>
      </w:tr>
      <w:tr>
        <w:tc>
          <w:tcPr>
            <w:tcW w:type="dxa" w:w="5141"/>
            <w:vAlign w:val="top"/>
          </w:tcPr>
          <w:p>
            <w:r>
              <w:t>Evidence Basis</w:t>
            </w:r>
          </w:p>
        </w:tc>
        <w:tc>
          <w:tcPr>
            <w:tcW w:type="dxa" w:w="5141"/>
            <w:vAlign w:val="top"/>
          </w:tcPr>
          <w:p>
            <w:r>
              <w:t>OFFLINE-EVIDENCE-BACKED / LIVE GAP PRESERVED</w:t>
            </w:r>
          </w:p>
        </w:tc>
      </w:tr>
      <w:tr>
        <w:tc>
          <w:tcPr>
            <w:tcW w:type="dxa" w:w="5141"/>
            <w:vAlign w:val="top"/>
          </w:tcPr>
          <w:p>
            <w:r>
              <w:t>Expected Contract Amendment</w:t>
            </w:r>
          </w:p>
        </w:tc>
        <w:tc>
          <w:tcPr>
            <w:tcW w:type="dxa" w:w="5141"/>
            <w:vAlign w:val="top"/>
          </w:tcPr>
          <w:p>
            <w:r>
              <w:t>NONE</w:t>
            </w:r>
          </w:p>
        </w:tc>
      </w:tr>
      <w:tr>
        <w:tc>
          <w:tcPr>
            <w:tcW w:type="dxa" w:w="5141"/>
            <w:vAlign w:val="top"/>
          </w:tcPr>
          <w:p>
            <w:r>
              <w:t>Expected Acceptance Label</w:t>
            </w:r>
          </w:p>
        </w:tc>
        <w:tc>
          <w:tcPr>
            <w:tcW w:type="dxa" w:w="5141"/>
            <w:vAlign w:val="top"/>
          </w:tcPr>
          <w:p>
            <w:r>
              <w:t>IMPLEMENTED / VERIFIED / OFFLINE-EVIDENCE-BACKED / LIVE GAP PRESERVED</w:t>
            </w:r>
          </w:p>
        </w:tc>
      </w:tr>
    </w:tbl>
    <w:p>
      <w:pPr>
        <w:pStyle w:val="Heading1"/>
      </w:pPr>
      <w:r>
        <w:t>2. Goal</w:t>
      </w:r>
    </w:p>
    <w:p>
      <w:r>
        <w:t>实现一个最小、保守、provider-local 的 FLIGGY Level-2 Evidence → Mapped 入口。Mapper 只解释已接受的 sanitized Level-2 Evidence，并且只写入现有 M4 Mapped Contract 已明确支持、能够诚实表达的语义。</w:t>
      </w:r>
    </w:p>
    <w:p>
      <w:r>
        <w:t>本 Unit 不追求把飞猪 Level-2 页面上的所有商业文本结构化；Audit 已判定 seller、fare product/cabin product、详细 baggage/refund/change rules、availability/inventory wording 等大量字段应继续保留在 Evidence 层。</w:t>
      </w:r>
    </w:p>
    <w:p>
      <w:pPr>
        <w:pStyle w:val="Heading1"/>
      </w:pPr>
      <w:r>
        <w:t>3. Preconditions / Authority</w:t>
      </w:r>
    </w:p>
    <w:p>
      <w:pPr>
        <w:pStyle w:val="ListBullet"/>
      </w:pPr>
      <w:r>
        <w:t>M9-FLIGGY-LEVEL2-U1 已正式接受：Level-2 acquisition/sanitization implementation verified。</w:t>
      </w:r>
    </w:p>
    <w:p>
      <w:pPr>
        <w:pStyle w:val="ListBullet"/>
      </w:pPr>
      <w:r>
        <w:t>M9-FLIGGY-LEVEL2-LIVE-U1 与 LIVE-R1 已完成；live 自动化仍存在 provider-local deterministic Level-1 targeting/reachability gap。</w:t>
      </w:r>
    </w:p>
    <w:p>
      <w:pPr>
        <w:pStyle w:val="ListBullet"/>
      </w:pPr>
      <w:r>
        <w:t>M9-FLIGGY-LEVEL2-MAPPING-AUDIT-U1 已 PASS WITH PRESERVED EVIDENCE-ONLY FIELDS，Contract Amendment = NONE。</w:t>
      </w:r>
    </w:p>
    <w:p>
      <w:pPr>
        <w:pStyle w:val="ListBullet"/>
      </w:pPr>
      <w:r>
        <w:t>现有 M4 Mapped Contract 是本 Unit 的唯一 shared mapping target；不得新增或修改 shared fields。</w:t>
      </w:r>
    </w:p>
    <w:p>
      <w:pPr>
        <w:pStyle w:val="ListBullet"/>
      </w:pPr>
      <w:r>
        <w:t>现有 FLIGGY Level-1 Mapper、Mapped-to-Canonical entry、CommonNormalizer semantics 必须保持兼容。</w:t>
      </w:r>
    </w:p>
    <w:p>
      <w:pPr>
        <w:pStyle w:val="Heading1"/>
      </w:pPr>
      <w:r>
        <w:t>4. Architectural Boundary</w:t>
      </w:r>
    </w:p>
    <w:p>
      <w:r>
        <w:t>唯一允许的数据流：</w:t>
      </w:r>
    </w:p>
    <w:p>
      <w:r>
        <w:t>Sanitized FLIGGY Level-2 Evidence → FLIGGY provider-local Level-2 Mapper → existing Mapped types</w:t>
      </w:r>
    </w:p>
    <w:p>
      <w:r>
        <w:t>禁止：DOM/HTML/Playwright locator/live page → Mapper；禁止 Mapper → Canonical 直接构造；禁止 Mapper 承担 merger/ranking/recommendation/purchase semantics。</w:t>
      </w:r>
    </w:p>
    <w:p>
      <w:pPr>
        <w:pStyle w:val="Heading1"/>
      </w:pPr>
      <w:r>
        <w:t>5. Mapping Atom and Row Isolation</w:t>
      </w:r>
    </w:p>
    <w:p>
      <w:pPr>
        <w:pStyle w:val="ListBullet"/>
      </w:pPr>
      <w:r>
        <w:t>一个 Level-2 offer evidence row 是最小映射原子。</w:t>
      </w:r>
    </w:p>
    <w:p>
      <w:pPr>
        <w:pStyle w:val="ListBullet"/>
      </w:pPr>
      <w:r>
        <w:t>每个可靠 row 最多形成一个 provider-local mapped offer candidate。</w:t>
      </w:r>
    </w:p>
    <w:p>
      <w:pPr>
        <w:pStyle w:val="ListBullet"/>
      </w:pPr>
      <w:r>
        <w:t>禁止跨 row 拼接 seller、price、baggage、refund/change、availability 或其他事实。</w:t>
      </w:r>
    </w:p>
    <w:p>
      <w:pPr>
        <w:pStyle w:val="ListBullet"/>
      </w:pPr>
      <w:r>
        <w:t>parent Level-1 ref / row ref / source evidence ref 必须通过现有 provenance/source identity 机制保持可追踪。</w:t>
      </w:r>
    </w:p>
    <w:p>
      <w:pPr>
        <w:pStyle w:val="ListBullet"/>
      </w:pPr>
      <w:r>
        <w:t>Level-1 summary offer 与 Level-2 row offers 是不同 observation；本 Mapper 不合并、不替换、不去重，也不判断哪个最终 authoritative。</w:t>
      </w:r>
    </w:p>
    <w:p>
      <w:pPr>
        <w:pStyle w:val="Heading1"/>
      </w:pPr>
      <w:r>
        <w:t>6. Authorized Mapping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t>Evidence Family</w:t>
            </w:r>
          </w:p>
        </w:tc>
        <w:tc>
          <w:tcPr>
            <w:tcW w:type="dxa" w:w="3427"/>
          </w:tcPr>
          <w:p>
            <w:r>
              <w:t>Decision</w:t>
            </w:r>
          </w:p>
        </w:tc>
        <w:tc>
          <w:tcPr>
            <w:tcW w:type="dxa" w:w="3427"/>
          </w:tcPr>
          <w:p>
            <w:r>
              <w:t>U1 Rule</w:t>
            </w:r>
          </w:p>
        </w:tc>
      </w:tr>
      <w:tr>
        <w:tc>
          <w:tcPr>
            <w:tcW w:type="dxa" w:w="3427"/>
            <w:vAlign w:val="top"/>
          </w:tcPr>
          <w:p>
            <w:r>
              <w:t>Row identity / offer_row_ref</w:t>
            </w:r>
          </w:p>
        </w:tc>
        <w:tc>
          <w:tcPr>
            <w:tcW w:type="dxa" w:w="3427"/>
            <w:vAlign w:val="top"/>
          </w:tcPr>
          <w:p>
            <w:r>
              <w:t>MAP_CONSERVATIVELY</w:t>
            </w:r>
          </w:p>
        </w:tc>
        <w:tc>
          <w:tcPr>
            <w:tcW w:type="dxa" w:w="3427"/>
            <w:vAlign w:val="top"/>
          </w:tcPr>
          <w:p>
            <w:r>
              <w:t>仅进入现有 provider-local identity/provenance；不得修改 shared MappedOffer schema。</w:t>
            </w:r>
          </w:p>
        </w:tc>
      </w:tr>
      <w:tr>
        <w:tc>
          <w:tcPr>
            <w:tcW w:type="dxa" w:w="3427"/>
            <w:vAlign w:val="top"/>
          </w:tcPr>
          <w:p>
            <w:r>
              <w:t>Parent Level-1 ref / provenance</w:t>
            </w:r>
          </w:p>
        </w:tc>
        <w:tc>
          <w:tcPr>
            <w:tcW w:type="dxa" w:w="3427"/>
            <w:vAlign w:val="top"/>
          </w:tcPr>
          <w:p>
            <w:r>
              <w:t>MAP</w:t>
            </w:r>
          </w:p>
        </w:tc>
        <w:tc>
          <w:tcPr>
            <w:tcW w:type="dxa" w:w="3427"/>
            <w:vAlign w:val="top"/>
          </w:tcPr>
          <w:p>
            <w:r>
              <w:t>复用现有 provenance/source refs/provider/version 机制。</w:t>
            </w:r>
          </w:p>
        </w:tc>
      </w:tr>
      <w:tr>
        <w:tc>
          <w:tcPr>
            <w:tcW w:type="dxa" w:w="3427"/>
            <w:vAlign w:val="top"/>
          </w:tcPr>
          <w:p>
            <w:r>
              <w:t>Level-2 row price</w:t>
            </w:r>
          </w:p>
        </w:tc>
        <w:tc>
          <w:tcPr>
            <w:tcW w:type="dxa" w:w="3427"/>
            <w:vAlign w:val="top"/>
          </w:tcPr>
          <w:p>
            <w:r>
              <w:t>MAP_CONSERVATIVELY</w:t>
            </w:r>
          </w:p>
        </w:tc>
        <w:tc>
          <w:tcPr>
            <w:tcW w:type="dxa" w:w="3427"/>
            <w:vAlign w:val="top"/>
          </w:tcPr>
          <w:p>
            <w:r>
              <w:t>amount/currency 明确且 row price 不是 lower-bound/starting qualifier 时映射；price semantics 依 evidence 决定。</w:t>
            </w:r>
          </w:p>
        </w:tc>
      </w:tr>
      <w:tr>
        <w:tc>
          <w:tcPr>
            <w:tcW w:type="dxa" w:w="3427"/>
            <w:vAlign w:val="top"/>
          </w:tcPr>
          <w:p>
            <w:r>
              <w:t>Seller / merchant text</w:t>
            </w:r>
          </w:p>
        </w:tc>
        <w:tc>
          <w:tcPr>
            <w:tcW w:type="dxa" w:w="3427"/>
            <w:vAlign w:val="top"/>
          </w:tcPr>
          <w:p>
            <w:r>
              <w:t>PRESERVE_EVIDENCE_ONLY</w:t>
            </w:r>
          </w:p>
        </w:tc>
        <w:tc>
          <w:tcPr>
            <w:tcW w:type="dxa" w:w="3427"/>
            <w:vAlign w:val="top"/>
          </w:tcPr>
          <w:p>
            <w:r>
              <w:t>Provider=FLIGGY 不得冒充 Seller；无 shared seller field 时不映射。</w:t>
            </w:r>
          </w:p>
        </w:tc>
      </w:tr>
      <w:tr>
        <w:tc>
          <w:tcPr>
            <w:tcW w:type="dxa" w:w="3427"/>
            <w:vAlign w:val="top"/>
          </w:tcPr>
          <w:p>
            <w:r>
              <w:t>Cabin / fare-product text</w:t>
            </w:r>
          </w:p>
        </w:tc>
        <w:tc>
          <w:tcPr>
            <w:tcW w:type="dxa" w:w="3427"/>
            <w:vAlign w:val="top"/>
          </w:tcPr>
          <w:p>
            <w:r>
              <w:t>PRESERVE_EVIDENCE_ONLY</w:t>
            </w:r>
          </w:p>
        </w:tc>
        <w:tc>
          <w:tcPr>
            <w:tcW w:type="dxa" w:w="3427"/>
            <w:vAlign w:val="top"/>
          </w:tcPr>
          <w:p>
            <w:r>
              <w:t>Audit 未发现可承载 fare-family/product 的 M4 shared field；不得创造新 enum/field。</w:t>
            </w:r>
          </w:p>
        </w:tc>
      </w:tr>
      <w:tr>
        <w:tc>
          <w:tcPr>
            <w:tcW w:type="dxa" w:w="3427"/>
            <w:vAlign w:val="top"/>
          </w:tcPr>
          <w:p>
            <w:r>
              <w:t>Baggage</w:t>
            </w:r>
          </w:p>
        </w:tc>
        <w:tc>
          <w:tcPr>
            <w:tcW w:type="dxa" w:w="3427"/>
            <w:vAlign w:val="top"/>
          </w:tcPr>
          <w:p>
            <w:r>
              <w:t>MAP_CONSERVATIVELY / OTHERWISE EVIDENCE_ONLY</w:t>
            </w:r>
          </w:p>
        </w:tc>
        <w:tc>
          <w:tcPr>
            <w:tcW w:type="dxa" w:w="3427"/>
            <w:vAlign w:val="top"/>
          </w:tcPr>
          <w:p>
            <w:r>
              <w:t>仅当 Evidence 明确表达 exact checked baggage piece count 且现有字段语义匹配时可映射；kg/raw rule 保留 Evidence。</w:t>
            </w:r>
          </w:p>
        </w:tc>
      </w:tr>
      <w:tr>
        <w:tc>
          <w:tcPr>
            <w:tcW w:type="dxa" w:w="3427"/>
            <w:vAlign w:val="top"/>
          </w:tcPr>
          <w:p>
            <w:r>
              <w:t>Refund/change</w:t>
            </w:r>
          </w:p>
        </w:tc>
        <w:tc>
          <w:tcPr>
            <w:tcW w:type="dxa" w:w="3427"/>
            <w:vAlign w:val="top"/>
          </w:tcPr>
          <w:p>
            <w:r>
              <w:t>MAP_CONSERVATIVELY / OTHERWISE EVIDENCE_ONLY</w:t>
            </w:r>
          </w:p>
        </w:tc>
        <w:tc>
          <w:tcPr>
            <w:tcW w:type="dxa" w:w="3427"/>
            <w:vAlign w:val="top"/>
          </w:tcPr>
          <w:p>
            <w:r>
              <w:t>仅 explicit refundable boolean 可进入现有 refundable；详细退改文本/费用/可改签语义不结构化。</w:t>
            </w:r>
          </w:p>
        </w:tc>
      </w:tr>
      <w:tr>
        <w:tc>
          <w:tcPr>
            <w:tcW w:type="dxa" w:w="3427"/>
            <w:vAlign w:val="top"/>
          </w:tcPr>
          <w:p>
            <w:r>
              <w:t>Availability / inventory wording</w:t>
            </w:r>
          </w:p>
        </w:tc>
        <w:tc>
          <w:tcPr>
            <w:tcW w:type="dxa" w:w="3427"/>
            <w:vAlign w:val="top"/>
          </w:tcPr>
          <w:p>
            <w:r>
              <w:t>PRESERVE_EVIDENCE_ONLY</w:t>
            </w:r>
          </w:p>
        </w:tc>
        <w:tc>
          <w:tcPr>
            <w:tcW w:type="dxa" w:w="3427"/>
            <w:vAlign w:val="top"/>
          </w:tcPr>
          <w:p>
            <w:r>
              <w:t>“仅剩2张”等不得映射为 authoritative inventory count。</w:t>
            </w:r>
          </w:p>
        </w:tc>
      </w:tr>
      <w:tr>
        <w:tc>
          <w:tcPr>
            <w:tcW w:type="dxa" w:w="3427"/>
            <w:vAlign w:val="top"/>
          </w:tcPr>
          <w:p>
            <w:r>
              <w:t>Action evidence / diagnostics</w:t>
            </w:r>
          </w:p>
        </w:tc>
        <w:tc>
          <w:tcPr>
            <w:tcW w:type="dxa" w:w="3427"/>
            <w:vAlign w:val="top"/>
          </w:tcPr>
          <w:p>
            <w:r>
              <w:t>DROP_AS_NON_BUSINESS_EVIDENCE</w:t>
            </w:r>
          </w:p>
        </w:tc>
        <w:tc>
          <w:tcPr>
            <w:tcW w:type="dxa" w:w="3427"/>
            <w:vAlign w:val="top"/>
          </w:tcPr>
          <w:p>
            <w:r>
              <w:t>仅允许通过 provenance/issue diagnostic 保留必要 trace，不进入 business truth。</w:t>
            </w:r>
          </w:p>
        </w:tc>
      </w:tr>
    </w:tbl>
    <w:p>
      <w:pPr>
        <w:pStyle w:val="Heading1"/>
      </w:pPr>
      <w:r>
        <w:t>7. Price Semantics Contract</w:t>
      </w:r>
    </w:p>
    <w:p>
      <w:pPr>
        <w:pStyle w:val="ListBullet"/>
      </w:pPr>
      <w:r>
        <w:t>Level-1 `¥xxx起` 已属于 LOWER_BOUND summary observation；Level-2 Mapper 不得用它填充缺失的 row price。</w:t>
      </w:r>
    </w:p>
    <w:p>
      <w:pPr>
        <w:pStyle w:val="ListBullet"/>
      </w:pPr>
      <w:r>
        <w:t>只有 sanitized row evidence 明确表达该 row 当前报价、amount/currency 均可确定，且不存在“起/最低/起售”等 lower-bound qualifier 时，才允许 `PriceSemantics.EXACT`。</w:t>
      </w:r>
    </w:p>
    <w:p>
      <w:pPr>
        <w:pStyle w:val="ListBullet"/>
      </w:pPr>
      <w:r>
        <w:t>若 Level-2 row 自身明确为 lower-bound，则只能使用现有 `LOWER_BOUND`；若无法诚实判断 EXACT/LOWER_BOUND，则不得伪造 known price semantics。</w:t>
      </w:r>
    </w:p>
    <w:p>
      <w:pPr>
        <w:pStyle w:val="ListBullet"/>
      </w:pPr>
      <w:r>
        <w:t>Level-1 与 Level-2 数值相同不构成同一 observation 的证据。</w:t>
      </w:r>
    </w:p>
    <w:p>
      <w:pPr>
        <w:pStyle w:val="ListBullet"/>
      </w:pPr>
      <w:r>
        <w:t>不得跨 seller/row 取最低价后重新构造一个不存在的 MappedOffer。</w:t>
      </w:r>
    </w:p>
    <w:p>
      <w:pPr>
        <w:pStyle w:val="Heading1"/>
      </w:pPr>
      <w:r>
        <w:t>8. Partial Mapping / Missing Semantics</w:t>
      </w:r>
    </w:p>
    <w:p>
      <w:pPr>
        <w:pStyle w:val="ListBullet"/>
      </w:pPr>
      <w:r>
        <w:t>可靠字段可独立映射；一个 unsupported/missing field 不应让整个可靠 row 自动 FAILURE。</w:t>
      </w:r>
    </w:p>
    <w:p>
      <w:pPr>
        <w:pStyle w:val="ListBullet"/>
      </w:pPr>
      <w:r>
        <w:t>必须复用现有 DomainValue `KNOWN / UNKNOWN / NOT_PROVIDED / NOT_APPLICABLE` 语义，不创造新的 missing vocabulary。</w:t>
      </w:r>
    </w:p>
    <w:p>
      <w:pPr>
        <w:pStyle w:val="ListBullet"/>
      </w:pPr>
      <w:r>
        <w:t>seller/product/rules/availability Evidence-only 不应被伪装成 NOT_APPLICABLE；应按照现有 contract 与 mapper convention 区分 unsupported evidence 与 genuinely not provided。</w:t>
      </w:r>
    </w:p>
    <w:p>
      <w:pPr>
        <w:pStyle w:val="ListBullet"/>
      </w:pPr>
      <w:r>
        <w:t>若 canonical-required price amount/currency 不可可靠获得，Mapper 不得制造 canonical-ready offer；应通过 existing issue/statistics/result behavior 诚实表达。</w:t>
      </w:r>
    </w:p>
    <w:p>
      <w:pPr>
        <w:pStyle w:val="Heading1"/>
      </w:pPr>
      <w:r>
        <w:t>9. Baggage and Refund Conservative Rules</w:t>
      </w:r>
    </w:p>
    <w:p>
      <w:pPr>
        <w:pStyle w:val="ListBullet"/>
      </w:pPr>
      <w:r>
        <w:t>只有 exact checked baggage piece count 与 `checked_baggage_pieces` 的现有语义完全一致时才允许映射；20kg 等重量文本不能换算为件数。</w:t>
      </w:r>
    </w:p>
    <w:p>
      <w:pPr>
        <w:pStyle w:val="ListBullet"/>
      </w:pPr>
      <w:r>
        <w:t>只有 Evidence 明确表达 refundable=true/false 时才允许映射 `refundable`；“退改¥xxx起”“退票收费”等复杂规则不得简化成 boolean，除非现有 contract 明确授权且语义无损。</w:t>
      </w:r>
    </w:p>
    <w:p>
      <w:pPr>
        <w:pStyle w:val="ListBullet"/>
      </w:pPr>
      <w:r>
        <w:t>changeable、change fee、refund fee、fare rule detail 没有现有 shared target 时保持 Evidence-only。</w:t>
      </w:r>
    </w:p>
    <w:p>
      <w:pPr>
        <w:pStyle w:val="Heading1"/>
      </w:pPr>
      <w:r>
        <w:t>10. Provenance / Issues / Statistics</w:t>
      </w:r>
    </w:p>
    <w:p>
      <w:pPr>
        <w:pStyle w:val="ListBullet"/>
      </w:pPr>
      <w:r>
        <w:t>每个 mapped row 必须能够追溯到 FLIGGY Level-2 sanitized Evidence、parent Level-1 context 与 provider-local row/source identity。</w:t>
      </w:r>
    </w:p>
    <w:p>
      <w:pPr>
        <w:pStyle w:val="ListBullet"/>
      </w:pPr>
      <w:r>
        <w:t>复用现有 mapper version / provider / evidence refs；不得把 Cookie/session/browser state 放入 provenance。</w:t>
      </w:r>
    </w:p>
    <w:p>
      <w:pPr>
        <w:pStyle w:val="ListBullet"/>
      </w:pPr>
      <w:r>
        <w:t>对 unsupported Evidence-only family，优先使用现有 issue/statistics vocabulary；不得为了统计方便新增 shared issue semantics。</w:t>
      </w:r>
    </w:p>
    <w:p>
      <w:pPr>
        <w:pStyle w:val="ListBullet"/>
      </w:pPr>
      <w:r>
        <w:t>不得在日志、fixture、snapshot、report 中持久化 Cookie/Auth/token/CSRF/browser profile/full HAR/PII/payment state。</w:t>
      </w:r>
    </w:p>
    <w:p>
      <w:pPr>
        <w:pStyle w:val="Heading1"/>
      </w:pPr>
      <w:r>
        <w:t>11. Required Tests / Acceptance Gates</w:t>
      </w:r>
    </w:p>
    <w:p>
      <w:pPr>
        <w:pStyle w:val="Heading2"/>
      </w:pPr>
      <w:r>
        <w:t>L2-MAP-01 — Input Boundary</w:t>
      </w:r>
    </w:p>
    <w:p>
      <w:r>
        <w:t>只接受 sanitized Level-2 Evidence；测试证明 Mapper 不依赖 DOM/HTML/live browser。</w:t>
      </w:r>
    </w:p>
    <w:p>
      <w:pPr>
        <w:pStyle w:val="Heading2"/>
      </w:pPr>
      <w:r>
        <w:t>L2-MAP-02 — Row Atomicity</w:t>
      </w:r>
    </w:p>
    <w:p>
      <w:r>
        <w:t>多 row 输入产生彼此隔离的 mapped candidates；禁止跨 row 拼接。</w:t>
      </w:r>
    </w:p>
    <w:p>
      <w:pPr>
        <w:pStyle w:val="Heading2"/>
      </w:pPr>
      <w:r>
        <w:t>L2-MAP-03 — Exact Price</w:t>
      </w:r>
    </w:p>
    <w:p>
      <w:r>
        <w:t>明确 row price 可保守映射 amount/currency/EXACT。</w:t>
      </w:r>
    </w:p>
    <w:p>
      <w:pPr>
        <w:pStyle w:val="Heading2"/>
      </w:pPr>
      <w:r>
        <w:t>L2-MAP-04 — Lower-Bound Separation</w:t>
      </w:r>
    </w:p>
    <w:p>
      <w:r>
        <w:t>L1 lower-bound 不替代 L2 row price；相同数值仍保持不同 observation。</w:t>
      </w:r>
    </w:p>
    <w:p>
      <w:pPr>
        <w:pStyle w:val="Heading2"/>
      </w:pPr>
      <w:r>
        <w:t>L2-MAP-05 — Seller Boundary</w:t>
      </w:r>
    </w:p>
    <w:p>
      <w:r>
        <w:t>seller 保留 Evidence-only；FLIGGY provider identity 不写成 seller。</w:t>
      </w:r>
    </w:p>
    <w:p>
      <w:pPr>
        <w:pStyle w:val="Heading2"/>
      </w:pPr>
      <w:r>
        <w:t>L2-MAP-06 — Baggage Boundary</w:t>
      </w:r>
    </w:p>
    <w:p>
      <w:r>
        <w:t>exact piece count 可映射；kg/raw baggage rule 不被误解释。</w:t>
      </w:r>
    </w:p>
    <w:p>
      <w:pPr>
        <w:pStyle w:val="Heading2"/>
      </w:pPr>
      <w:r>
        <w:t>L2-MAP-07 — Refund Boundary</w:t>
      </w:r>
    </w:p>
    <w:p>
      <w:r>
        <w:t>explicit refundable boolean 可映射；复杂 refund/change text 保留 Evidence-only。</w:t>
      </w:r>
    </w:p>
    <w:p>
      <w:pPr>
        <w:pStyle w:val="Heading2"/>
      </w:pPr>
      <w:r>
        <w:t>L2-MAP-08 — Availability Negative Control</w:t>
      </w:r>
    </w:p>
    <w:p>
      <w:r>
        <w:t>“仅剩2张”等不生成 authoritative inventory truth。</w:t>
      </w:r>
    </w:p>
    <w:p>
      <w:pPr>
        <w:pStyle w:val="Heading2"/>
      </w:pPr>
      <w:r>
        <w:t>L2-MAP-09 — Partial Mapping</w:t>
      </w:r>
    </w:p>
    <w:p>
      <w:r>
        <w:t>unsupported/missing families 不破坏其他可靠 row semantics；missing vocabulary 保持现有 contract。</w:t>
      </w:r>
    </w:p>
    <w:p>
      <w:pPr>
        <w:pStyle w:val="Heading2"/>
      </w:pPr>
      <w:r>
        <w:t>L2-MAP-10 — Provenance</w:t>
      </w:r>
    </w:p>
    <w:p>
      <w:r>
        <w:t>parent L1 ref / row ref / provider/evidence refs 可追踪且无敏感状态。</w:t>
      </w:r>
    </w:p>
    <w:p>
      <w:pPr>
        <w:pStyle w:val="Heading2"/>
      </w:pPr>
      <w:r>
        <w:t>L2-MAP-11 — Shared Contract Preservation</w:t>
      </w:r>
    </w:p>
    <w:p>
      <w:r>
        <w:t>M4/M2/CommonNormalizer/Canonical shared semantics 无修改。</w:t>
      </w:r>
    </w:p>
    <w:p>
      <w:pPr>
        <w:pStyle w:val="Heading2"/>
      </w:pPr>
      <w:r>
        <w:t>L2-MAP-12 — Regression</w:t>
      </w:r>
    </w:p>
    <w:p>
      <w:r>
        <w:t>FLIGGY Level-1 Mapper、Canonical entry、Level-2 acquisition/sanitization、architecture negative controls 全部保持通过。</w:t>
      </w:r>
    </w:p>
    <w:p>
      <w:pPr>
        <w:pStyle w:val="Heading2"/>
      </w:pPr>
      <w:r>
        <w:t>L2-MAP-13 — Live Gap Label</w:t>
      </w:r>
    </w:p>
    <w:p>
      <w:r>
        <w:t>测试/文档/报告不得声称 live-validated；保持 OFFLINE-EVIDENCE-BACKED / LIVE GAP PRESERVED。</w:t>
      </w:r>
    </w:p>
    <w:p>
      <w:pPr>
        <w:pStyle w:val="Heading1"/>
      </w:pPr>
      <w:r>
        <w:t>12. Allowed Scope</w:t>
      </w:r>
    </w:p>
    <w:p>
      <w:pPr>
        <w:pStyle w:val="ListBullet"/>
      </w:pPr>
      <w:r>
        <w:t>新增最小 FLIGGY provider-local Level-2 mapper module/helper/wiring。</w:t>
      </w:r>
    </w:p>
    <w:p>
      <w:pPr>
        <w:pStyle w:val="ListBullet"/>
      </w:pPr>
      <w:r>
        <w:t>更新 FLIGGY provider-local exports。</w:t>
      </w:r>
    </w:p>
    <w:p>
      <w:pPr>
        <w:pStyle w:val="ListBullet"/>
      </w:pPr>
      <w:r>
        <w:t>新增 focused offline unit tests / fixtures，优先复用已接受 Level-2 sanitized Evidence fixture。</w:t>
      </w:r>
    </w:p>
    <w:p>
      <w:pPr>
        <w:pStyle w:val="ListBullet"/>
      </w:pPr>
      <w:r>
        <w:t>必要时增加 provider-local issue/statistics wiring，但不得新增 shared vocabulary。</w:t>
      </w:r>
    </w:p>
    <w:p>
      <w:pPr>
        <w:pStyle w:val="ListBullet"/>
      </w:pPr>
      <w:r>
        <w:t>执行相关 regression、architecture、ruff、pyright、backend CI。</w:t>
      </w:r>
    </w:p>
    <w:p>
      <w:pPr>
        <w:pStyle w:val="Heading1"/>
      </w:pPr>
      <w:r>
        <w:t>13. Forbidden Scope</w:t>
      </w:r>
    </w:p>
    <w:p>
      <w:pPr>
        <w:pStyle w:val="ListBullet"/>
      </w:pPr>
      <w:r>
        <w:t>不得修改 M2/M4/M6/M7/M8 shared/domain contracts、CommonNormalizer semantics 或 Shared Canonical Mapping Specification。</w:t>
      </w:r>
    </w:p>
    <w:p>
      <w:pPr>
        <w:pStyle w:val="ListBullet"/>
      </w:pPr>
      <w:r>
        <w:t>不得实现 seller shared field、fare family/product model、inventory model、refund/change fee model 等未授权 shared semantics。</w:t>
      </w:r>
    </w:p>
    <w:p>
      <w:pPr>
        <w:pStyle w:val="ListBullet"/>
      </w:pPr>
      <w:r>
        <w:t>不得实现 Candidate Merger、CandidateSnapshot、Ranking、Recommendation、Purchase Guidance/Access、API/frontend/database。</w:t>
      </w:r>
    </w:p>
    <w:p>
      <w:pPr>
        <w:pStyle w:val="ListBullet"/>
      </w:pPr>
      <w:r>
        <w:t>不得修改 CTRIP。</w:t>
      </w:r>
    </w:p>
    <w:p>
      <w:pPr>
        <w:pStyle w:val="ListBullet"/>
      </w:pPr>
      <w:r>
        <w:t>不得运行新的 FLIGGY live probe；本 Unit 以 accepted offline Evidence 为基础。</w:t>
      </w:r>
    </w:p>
    <w:p>
      <w:pPr>
        <w:pStyle w:val="ListBullet"/>
      </w:pPr>
      <w:r>
        <w:t>不得为了测试通过削弱 golden/negative controls。</w:t>
      </w:r>
    </w:p>
    <w:p>
      <w:pPr>
        <w:pStyle w:val="Heading1"/>
      </w:pPr>
      <w:r>
        <w:t>14. Contract Amendment Stop Rule</w:t>
      </w:r>
    </w:p>
    <w:p>
      <w:r>
        <w:t>默认 Contract Amendment = NONE。若实现过程中发现现有 Mapped Contract 无法承载 Audit 已授权的最小必要语义，必须停止，不得静默扩张 shared model。执行：STOP → Evidence → Impact → Options → Recommended Contract Amendment → Human Decision。</w:t>
      </w:r>
    </w:p>
    <w:p>
      <w:pPr>
        <w:pStyle w:val="Heading1"/>
      </w:pPr>
      <w:r>
        <w:t>15. Git / Completion</w:t>
      </w:r>
    </w:p>
    <w:p>
      <w:pPr>
        <w:pStyle w:val="ListBullet"/>
      </w:pPr>
      <w:r>
        <w:t>开始时 `git fetch origin`，检查当前 branch/HEAD/origin/main/provider remote/dirty tree；历史 hash 仅作 evidence，不作为永久 baseline。</w:t>
      </w:r>
    </w:p>
    <w:p>
      <w:pPr>
        <w:pStyle w:val="ListBullet"/>
      </w:pPr>
      <w:r>
        <w:t>继续使用 `m9-trackb-fliggy-browser`；若 main 前进，按现行分支治理处理，禁止随意 reset/rebase/force push。</w:t>
      </w:r>
    </w:p>
    <w:p>
      <w:pPr>
        <w:pStyle w:val="ListBullet"/>
      </w:pPr>
      <w:r>
        <w:t>实现完成后 focused tests → regressions/architecture → ruff → pyright → appropriate backend CI → self-review diff。</w:t>
      </w:r>
    </w:p>
    <w:p>
      <w:pPr>
        <w:pStyle w:val="ListBullet"/>
      </w:pPr>
      <w:r>
        <w:t>授权变更 commit + push，验证 remote tracking ref == local HEAD，working tree clean。</w:t>
      </w:r>
    </w:p>
    <w:p>
      <w:pPr>
        <w:pStyle w:val="ListBullet"/>
      </w:pPr>
      <w:r>
        <w:t>不得 merge main；不得自动授权下一个 Unit。</w:t>
      </w:r>
    </w:p>
    <w:p>
      <w:pPr>
        <w:pStyle w:val="Heading1"/>
      </w:pPr>
      <w:r>
        <w:t>16. Definition of Done / Exit</w:t>
      </w:r>
    </w:p>
    <w:p>
      <w:pPr>
        <w:pStyle w:val="ListBullet"/>
      </w:pPr>
      <w:r>
        <w:t>L2-MAP-01..13 有明确 PASS 证据。</w:t>
      </w:r>
    </w:p>
    <w:p>
      <w:pPr>
        <w:pStyle w:val="ListBullet"/>
      </w:pPr>
      <w:r>
        <w:t>Contract Amendment = NONE，或按 stop rule 停止等待人工决策。</w:t>
      </w:r>
    </w:p>
    <w:p>
      <w:pPr>
        <w:pStyle w:val="ListBullet"/>
      </w:pPr>
      <w:r>
        <w:t>实现只产生 existing Mapped semantics；Evidence-only fields 未被偷偷结构化。</w:t>
      </w:r>
    </w:p>
    <w:p>
      <w:pPr>
        <w:pStyle w:val="ListBullet"/>
      </w:pPr>
      <w:r>
        <w:t>所有新增测试保持 network-free。</w:t>
      </w:r>
    </w:p>
    <w:p>
      <w:pPr>
        <w:pStyle w:val="ListBullet"/>
      </w:pPr>
      <w:r>
        <w:t>Git commit/push/remote verify/clean 完成。</w:t>
      </w:r>
    </w:p>
    <w:p>
      <w:pPr>
        <w:pStyle w:val="ListBullet"/>
      </w:pPr>
      <w:r>
        <w:t>最终标签只能是 `IMPLEMENTED / VERIFIED / OFFLINE-EVIDENCE-BACKED / LIVE GAP PRESERVED`，除非未来另一个正式 Unit 提供 live revalidation。</w:t>
      </w:r>
    </w:p>
    <w:p>
      <w:pPr>
        <w:pStyle w:val="ListBullet"/>
      </w:pPr>
      <w:r>
        <w:t>PASS 后 STOP；不自动进入 Canonical/Merger/main merge。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