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7"/>
        </w:rPr>
        <w:t>机票筛选Agent</w:t>
        <w:br/>
        <w:t>M9 FLIGGY Browser Acquisition Recovery DIAG-U10</w:t>
      </w:r>
    </w:p>
    <w:p>
      <w:pPr>
        <w:jc w:val="center"/>
      </w:pPr>
      <w:r>
        <w:rPr>
          <w:b/>
          <w:sz w:val="26"/>
        </w:rPr>
        <w:t>Public Destination Control Click &amp; City-Selector Activation Diagnosis</w:t>
        <w:br/>
        <w:t>Specification V1.0</w:t>
      </w:r>
    </w:p>
    <w:p>
      <w:pPr>
        <w:jc w:val="center"/>
      </w:pPr>
      <w:r>
        <w:rPr>
          <w:i/>
        </w:rPr>
        <w:t>状态：PROPOSED / DIAGNOSTIC-ONLY / REQUIRES DOCUMENT ACCEPTANCE</w:t>
      </w:r>
    </w:p>
    <w:p>
      <w:pPr>
        <w:pStyle w:val="Heading1"/>
      </w:pPr>
      <w:r>
        <w:t>1. Unit Identity &amp; Trigger</w:t>
      </w:r>
    </w:p>
    <w:tbl>
      <w:tblPr>
        <w:tblStyle w:val="TableGrid"/>
        <w:tblW w:type="auto" w:w="0"/>
        <w:tblLook w:firstColumn="1" w:firstRow="1" w:lastColumn="0" w:lastRow="0" w:noHBand="0" w:noVBand="1" w:val="04A0"/>
      </w:tblPr>
      <w:tblGrid>
        <w:gridCol w:w="5071"/>
        <w:gridCol w:w="5071"/>
      </w:tblGrid>
      <w:tr>
        <w:tc>
          <w:tcPr>
            <w:tcW w:type="dxa" w:w="5071"/>
            <w:shd w:fill="D9EAF7"/>
          </w:tcPr>
          <w:p>
            <w:r>
              <w:t>Item</w:t>
            </w:r>
          </w:p>
        </w:tc>
        <w:tc>
          <w:tcPr>
            <w:tcW w:type="dxa" w:w="5071"/>
            <w:shd w:fill="D9EAF7"/>
          </w:tcPr>
          <w:p>
            <w:r>
              <w:t>Value</w:t>
            </w:r>
          </w:p>
        </w:tc>
      </w:tr>
      <w:tr>
        <w:tc>
          <w:tcPr>
            <w:tcW w:type="dxa" w:w="5071"/>
          </w:tcPr>
          <w:p>
            <w:r>
              <w:t>Unit ID</w:t>
            </w:r>
          </w:p>
        </w:tc>
        <w:tc>
          <w:tcPr>
            <w:tcW w:type="dxa" w:w="5071"/>
          </w:tcPr>
          <w:p>
            <w:r>
              <w:t>M9-FLIGGY-BROWSER-ACQUISITION-RECOVERY-DIAG-U10</w:t>
            </w:r>
          </w:p>
        </w:tc>
      </w:tr>
      <w:tr>
        <w:tc>
          <w:tcPr>
            <w:tcW w:type="dxa" w:w="5071"/>
          </w:tcPr>
          <w:p>
            <w:r>
              <w:t>Title</w:t>
            </w:r>
          </w:p>
        </w:tc>
        <w:tc>
          <w:tcPr>
            <w:tcW w:type="dxa" w:w="5071"/>
          </w:tcPr>
          <w:p>
            <w:r>
              <w:t>Public Destination Control Click &amp; City-Selector Activation Diagnosis</w:t>
            </w:r>
          </w:p>
        </w:tc>
      </w:tr>
      <w:tr>
        <w:tc>
          <w:tcPr>
            <w:tcW w:type="dxa" w:w="5071"/>
          </w:tcPr>
          <w:p>
            <w:r>
              <w:t>Trigger</w:t>
            </w:r>
          </w:p>
        </w:tc>
        <w:tc>
          <w:tcPr>
            <w:tcW w:type="dxa" w:w="5071"/>
          </w:tcPr>
          <w:p>
            <w:r>
              <w:t>Recovery-U9 offline PASS, but first valid headed live observation failed before selector activation.</w:t>
            </w:r>
          </w:p>
        </w:tc>
      </w:tr>
      <w:tr>
        <w:tc>
          <w:tcPr>
            <w:tcW w:type="dxa" w:w="5071"/>
          </w:tcPr>
          <w:p>
            <w:r>
              <w:t>U9 governance commit</w:t>
            </w:r>
          </w:p>
        </w:tc>
        <w:tc>
          <w:tcPr>
            <w:tcW w:type="dxa" w:w="5071"/>
          </w:tcPr>
          <w:p>
            <w:r>
              <w:t>9908f55ffe1e07678f1be9eb1f41877a7030e089</w:t>
            </w:r>
          </w:p>
        </w:tc>
      </w:tr>
      <w:tr>
        <w:tc>
          <w:tcPr>
            <w:tcW w:type="dxa" w:w="5071"/>
          </w:tcPr>
          <w:p>
            <w:r>
              <w:t>U9 implementation commit</w:t>
            </w:r>
          </w:p>
        </w:tc>
        <w:tc>
          <w:tcPr>
            <w:tcW w:type="dxa" w:w="5071"/>
          </w:tcPr>
          <w:p>
            <w:r>
              <w:t>3fa6670e44894eccdce7e88c446055b6bb2059ba</w:t>
            </w:r>
          </w:p>
        </w:tc>
      </w:tr>
      <w:tr>
        <w:tc>
          <w:tcPr>
            <w:tcW w:type="dxa" w:w="5071"/>
          </w:tcPr>
          <w:p>
            <w:r>
              <w:t>Observed origin/main</w:t>
            </w:r>
          </w:p>
        </w:tc>
        <w:tc>
          <w:tcPr>
            <w:tcW w:type="dxa" w:w="5071"/>
          </w:tcPr>
          <w:p>
            <w:r>
              <w:t>af348663c1671b26681e4440b204dddc88b479f4</w:t>
            </w:r>
          </w:p>
        </w:tc>
      </w:tr>
      <w:tr>
        <w:tc>
          <w:tcPr>
            <w:tcW w:type="dxa" w:w="5071"/>
          </w:tcPr>
          <w:p>
            <w:r>
              <w:t>U9 live verdict</w:t>
            </w:r>
          </w:p>
        </w:tc>
        <w:tc>
          <w:tcPr>
            <w:tcW w:type="dxa" w:w="5071"/>
          </w:tcPr>
          <w:p>
            <w:r>
              <w:t>BLOCKED — PUBLIC CITY-SELECTOR INTERACTION GAP REMAINS</w:t>
            </w:r>
          </w:p>
        </w:tc>
      </w:tr>
      <w:tr>
        <w:tc>
          <w:tcPr>
            <w:tcW w:type="dxa" w:w="5071"/>
          </w:tcPr>
          <w:p>
            <w:r>
              <w:t>Recovery-U10</w:t>
            </w:r>
          </w:p>
        </w:tc>
        <w:tc>
          <w:tcPr>
            <w:tcW w:type="dxa" w:w="5071"/>
          </w:tcPr>
          <w:p>
            <w:r>
              <w:t>NOT AUTHORIZED</w:t>
            </w:r>
          </w:p>
        </w:tc>
      </w:tr>
      <w:tr>
        <w:tc>
          <w:tcPr>
            <w:tcW w:type="dxa" w:w="5071"/>
          </w:tcPr>
          <w:p>
            <w:r>
              <w:t>Main integration</w:t>
            </w:r>
          </w:p>
        </w:tc>
        <w:tc>
          <w:tcPr>
            <w:tcW w:type="dxa" w:w="5071"/>
          </w:tcPr>
          <w:p>
            <w:r>
              <w:t>NOT AUTHORIZED</w:t>
            </w:r>
          </w:p>
        </w:tc>
      </w:tr>
    </w:tbl>
    <w:p>
      <w:pPr>
        <w:pStyle w:val="Heading1"/>
      </w:pPr>
      <w:r>
        <w:t>2. Evidence Baseline</w:t>
      </w:r>
    </w:p>
    <w:p>
      <w:r>
        <w:t>U9 proved the offline city-selector repair contract but the first valid headed live observation stopped at selector-open. The automated run attempted one click on the current destination control; no public city-selector surface was observed, candidate count remained 0, destination readback stayed 杭州, date commit succeeded for 2026-09-14, route Q1 failed, and submit was correctly blocked.</w:t>
      </w:r>
    </w:p>
    <w:tbl>
      <w:tblPr>
        <w:tblStyle w:val="TableGrid"/>
        <w:tblW w:type="auto" w:w="0"/>
        <w:tblLook w:firstColumn="1" w:firstRow="1" w:lastColumn="0" w:lastRow="0" w:noHBand="0" w:noVBand="1" w:val="04A0"/>
      </w:tblPr>
      <w:tblGrid>
        <w:gridCol w:w="5071"/>
        <w:gridCol w:w="5071"/>
      </w:tblGrid>
      <w:tr>
        <w:tc>
          <w:tcPr>
            <w:tcW w:type="dxa" w:w="5071"/>
            <w:shd w:fill="D9EAF7"/>
          </w:tcPr>
          <w:p>
            <w:r>
              <w:t>Evidence</w:t>
            </w:r>
          </w:p>
        </w:tc>
        <w:tc>
          <w:tcPr>
            <w:tcW w:type="dxa" w:w="5071"/>
            <w:shd w:fill="D9EAF7"/>
          </w:tcPr>
          <w:p>
            <w:r>
              <w:t>Observed fact</w:t>
            </w:r>
          </w:p>
        </w:tc>
      </w:tr>
      <w:tr>
        <w:tc>
          <w:tcPr>
            <w:tcW w:type="dxa" w:w="5071"/>
          </w:tcPr>
          <w:p>
            <w:r>
              <w:t>Human golden path</w:t>
            </w:r>
          </w:p>
        </w:tc>
        <w:tc>
          <w:tcPr>
            <w:tcW w:type="dxa" w:w="5071"/>
          </w:tcPr>
          <w:p>
            <w:r>
              <w:t>Click current arrival city 杭州 → public city-selector appears → click 上海 → choose date 14 → 搜索机票 → correct 北京→上海 / 2026-09-14 result.</w:t>
            </w:r>
          </w:p>
        </w:tc>
      </w:tr>
      <w:tr>
        <w:tc>
          <w:tcPr>
            <w:tcW w:type="dxa" w:w="5071"/>
          </w:tcPr>
          <w:p>
            <w:r>
              <w:t>U9 live click</w:t>
            </w:r>
          </w:p>
        </w:tc>
        <w:tc>
          <w:tcPr>
            <w:tcW w:type="dxa" w:w="5071"/>
          </w:tcPr>
          <w:p>
            <w:r>
              <w:t>Current destination control click attempted once.</w:t>
            </w:r>
          </w:p>
        </w:tc>
      </w:tr>
      <w:tr>
        <w:tc>
          <w:tcPr>
            <w:tcW w:type="dxa" w:w="5071"/>
          </w:tcPr>
          <w:p>
            <w:r>
              <w:t>Selector</w:t>
            </w:r>
          </w:p>
        </w:tc>
        <w:tc>
          <w:tcPr>
            <w:tcW w:type="dxa" w:w="5071"/>
          </w:tcPr>
          <w:p>
            <w:r>
              <w:t>Not observed.</w:t>
            </w:r>
          </w:p>
        </w:tc>
      </w:tr>
      <w:tr>
        <w:tc>
          <w:tcPr>
            <w:tcW w:type="dxa" w:w="5071"/>
          </w:tcPr>
          <w:p>
            <w:r>
              <w:t>Destination after click</w:t>
            </w:r>
          </w:p>
        </w:tc>
        <w:tc>
          <w:tcPr>
            <w:tcW w:type="dxa" w:w="5071"/>
          </w:tcPr>
          <w:p>
            <w:r>
              <w:t>杭州 remained stable.</w:t>
            </w:r>
          </w:p>
        </w:tc>
      </w:tr>
      <w:tr>
        <w:tc>
          <w:tcPr>
            <w:tcW w:type="dxa" w:w="5071"/>
          </w:tcPr>
          <w:p>
            <w:r>
              <w:t>Date</w:t>
            </w:r>
          </w:p>
        </w:tc>
        <w:tc>
          <w:tcPr>
            <w:tcW w:type="dxa" w:w="5071"/>
          </w:tcPr>
          <w:p>
            <w:r>
              <w:t>2026-09-14 commit confirmed.</w:t>
            </w:r>
          </w:p>
        </w:tc>
      </w:tr>
      <w:tr>
        <w:tc>
          <w:tcPr>
            <w:tcW w:type="dxa" w:w="5071"/>
          </w:tcPr>
          <w:p>
            <w:r>
              <w:t>Q1</w:t>
            </w:r>
          </w:p>
        </w:tc>
        <w:tc>
          <w:tcPr>
            <w:tcW w:type="dxa" w:w="5071"/>
          </w:tcPr>
          <w:p>
            <w:r>
              <w:t>route=false, date=true.</w:t>
            </w:r>
          </w:p>
        </w:tc>
      </w:tr>
      <w:tr>
        <w:tc>
          <w:tcPr>
            <w:tcW w:type="dxa" w:w="5071"/>
          </w:tcPr>
          <w:p>
            <w:r>
              <w:t>Submit/Q5/L1</w:t>
            </w:r>
          </w:p>
        </w:tc>
        <w:tc>
          <w:tcPr>
            <w:tcW w:type="dxa" w:w="5071"/>
          </w:tcPr>
          <w:p>
            <w:r>
              <w:t>Not reached.</w:t>
            </w:r>
          </w:p>
        </w:tc>
      </w:tr>
      <w:tr>
        <w:tc>
          <w:tcPr>
            <w:tcW w:type="dxa" w:w="5071"/>
          </w:tcPr>
          <w:p>
            <w:r>
              <w:t>Challenge/overlay</w:t>
            </w:r>
          </w:p>
        </w:tc>
        <w:tc>
          <w:tcPr>
            <w:tcW w:type="dxa" w:w="5071"/>
          </w:tcPr>
          <w:p>
            <w:r>
              <w:t>No access challenge; overlay count 0.</w:t>
            </w:r>
          </w:p>
        </w:tc>
      </w:tr>
    </w:tbl>
    <w:p>
      <w:r>
        <w:t>Therefore the next unresolved question is not candidate matching and not destination semantic resolution. It is whether automation is activating the same public control, through the same legitimate interaction semantics, that a human click activates.</w:t>
      </w:r>
    </w:p>
    <w:p>
      <w:pPr>
        <w:pStyle w:val="Heading1"/>
      </w:pPr>
      <w:r>
        <w:t>3. Diagnostic Question</w:t>
      </w:r>
    </w:p>
    <w:p>
      <w:r>
        <w:t>Why does a normal human click on the visible current destination city open FLIGGY's public city-selector, while the current Playwright interaction does not expose that selector in the valid headed run?</w:t>
      </w:r>
    </w:p>
    <w:p>
      <w:pPr>
        <w:pStyle w:val="ListBullet"/>
      </w:pPr>
      <w:r>
        <w:t>Is the automated locator bound to the same visible/public destination control the human clicks?</w:t>
      </w:r>
    </w:p>
    <w:p>
      <w:pPr>
        <w:pStyle w:val="ListBullet"/>
      </w:pPr>
      <w:r>
        <w:t>Is the chosen target visible, enabled, stable and actually receiving the interaction?</w:t>
      </w:r>
    </w:p>
    <w:p>
      <w:pPr>
        <w:pStyle w:val="ListBullet"/>
      </w:pPr>
      <w:r>
        <w:t>Does the target change/re-render between locator resolution and interaction?</w:t>
      </w:r>
    </w:p>
    <w:p>
      <w:pPr>
        <w:pStyle w:val="ListBullet"/>
      </w:pPr>
      <w:r>
        <w:t>Does a normal public pointer/mouse click sequence activate the selector while the current click path does not?</w:t>
      </w:r>
    </w:p>
    <w:p>
      <w:pPr>
        <w:pStyle w:val="ListBullet"/>
      </w:pPr>
      <w:r>
        <w:t>Does focus or another public lifecycle transition occur in the human-like path before selector appearance?</w:t>
      </w:r>
    </w:p>
    <w:p>
      <w:pPr>
        <w:pStyle w:val="ListBullet"/>
      </w:pPr>
      <w:r>
        <w:t>Is selector activation delayed by an objective, bounded public UI transition rather than absent?</w:t>
      </w:r>
    </w:p>
    <w:p>
      <w:pPr>
        <w:pStyle w:val="Heading1"/>
      </w:pPr>
      <w:r>
        <w:t>4. Diagnostic Scope &amp; Non-Goals</w:t>
      </w:r>
    </w:p>
    <w:p>
      <w:r>
        <w:t>DIAG-U10 is diagnostic-only. It may add provider-local instrumentation and tests, but it must not implement the eventual Recovery-U10 repair.</w:t>
      </w:r>
    </w:p>
    <w:p>
      <w:r>
        <w:t>Allowed diagnostic scope:</w:t>
      </w:r>
    </w:p>
    <w:p>
      <w:pPr>
        <w:pStyle w:val="ListBullet"/>
      </w:pPr>
      <w:r>
        <w:t>Inspect the existing FLIGGY destination locator/click implementation and its public DOM-visible target evidence.</w:t>
      </w:r>
    </w:p>
    <w:p>
      <w:pPr>
        <w:pStyle w:val="ListBullet"/>
      </w:pPr>
      <w:r>
        <w:t>Record sanitized target metadata: visible text, role/tag-like public identity, visibility/enabled state, bounding-box presence, locator multiplicity and stability.</w:t>
      </w:r>
    </w:p>
    <w:p>
      <w:pPr>
        <w:pStyle w:val="ListBullet"/>
      </w:pPr>
      <w:r>
        <w:t>Record focus/active-element public evidence where available without reading private provider application state.</w:t>
      </w:r>
    </w:p>
    <w:p>
      <w:pPr>
        <w:pStyle w:val="ListBullet"/>
      </w:pPr>
      <w:r>
        <w:t>Record bounded before/after snapshots of visible public selector markers and page/context lifecycle.</w:t>
      </w:r>
    </w:p>
    <w:p>
      <w:pPr>
        <w:pStyle w:val="ListBullet"/>
      </w:pPr>
      <w:r>
        <w:t>Compare the current click path with one or more legitimate browser-level public interaction probes, strictly for diagnosis.</w:t>
      </w:r>
    </w:p>
    <w:p>
      <w:pPr>
        <w:pStyle w:val="ListBullet"/>
      </w:pPr>
      <w:r>
        <w:t>Add offline fixtures/tests for target ambiguity, wrong target, detached/re-rendered target, click-received-but-no-selector, selector-delayed, and selector-open cases.</w:t>
      </w:r>
    </w:p>
    <w:p>
      <w:pPr>
        <w:pStyle w:val="ListBullet"/>
      </w:pPr>
      <w:r>
        <w:t>Use headed live observations with human screenshot pauses. Human observes only; automated evidence must remain automation-only.</w:t>
      </w:r>
    </w:p>
    <w:p>
      <w:r>
        <w:t>Forbidden:</w:t>
      </w:r>
    </w:p>
    <w:p>
      <w:pPr>
        <w:pStyle w:val="ListBullet"/>
      </w:pPr>
      <w:r>
        <w:t>No Recovery-U10 behavior change and no fallback that silently changes the production interaction path.</w:t>
      </w:r>
    </w:p>
    <w:p>
      <w:pPr>
        <w:pStyle w:val="ListBullet"/>
      </w:pPr>
      <w:r>
        <w:t>No JavaScript-forced click, dispatchEvent, DOM mutation, style manipulation, or forcing the selector visible.</w:t>
      </w:r>
    </w:p>
    <w:p>
      <w:pPr>
        <w:pStyle w:val="ListBullet"/>
      </w:pPr>
      <w:r>
        <w:t>No private JS/application state, hidden API, request interception/replay, Cookie/session/localStorage, HAR/token/signature work.</w:t>
      </w:r>
    </w:p>
    <w:p>
      <w:pPr>
        <w:pStyle w:val="ListBullet"/>
      </w:pPr>
      <w:r>
        <w:t>No direct result URL construction/reuse, no query injection, no geolocation spoofing, no anti-bot/access-control bypass.</w:t>
      </w:r>
    </w:p>
    <w:p>
      <w:pPr>
        <w:pStyle w:val="ListBullet"/>
      </w:pPr>
      <w:r>
        <w:t>No screen-coordinate hard-coding, blind index click, 上海 special case, or Q1/Q5 relaxation.</w:t>
      </w:r>
    </w:p>
    <w:p>
      <w:pPr>
        <w:pStyle w:val="ListBullet"/>
      </w:pPr>
      <w:r>
        <w:t>No L1/L2, Mapper, Canonical, CommonNormalizer, Candidate Merger, shared-contract or main changes.</w:t>
      </w:r>
    </w:p>
    <w:p>
      <w:pPr>
        <w:pStyle w:val="Heading1"/>
      </w:pPr>
      <w:r>
        <w:t>5. Diagnostic Observation Model: A0-A10</w:t>
      </w:r>
    </w:p>
    <w:tbl>
      <w:tblPr>
        <w:tblStyle w:val="TableGrid"/>
        <w:tblW w:type="auto" w:w="0"/>
        <w:tblLook w:firstColumn="1" w:firstRow="1" w:lastColumn="0" w:lastRow="0" w:noHBand="0" w:noVBand="1" w:val="04A0"/>
      </w:tblPr>
      <w:tblGrid>
        <w:gridCol w:w="5071"/>
        <w:gridCol w:w="5071"/>
      </w:tblGrid>
      <w:tr>
        <w:tc>
          <w:tcPr>
            <w:tcW w:type="dxa" w:w="5071"/>
            <w:shd w:fill="D9EAF7"/>
          </w:tcPr>
          <w:p>
            <w:r>
              <w:t>Stage</w:t>
            </w:r>
          </w:p>
        </w:tc>
        <w:tc>
          <w:tcPr>
            <w:tcW w:type="dxa" w:w="5071"/>
            <w:shd w:fill="D9EAF7"/>
          </w:tcPr>
          <w:p>
            <w:r>
              <w:t>Required evidence</w:t>
            </w:r>
          </w:p>
        </w:tc>
      </w:tr>
      <w:tr>
        <w:tc>
          <w:tcPr>
            <w:tcW w:type="dxa" w:w="5071"/>
          </w:tcPr>
          <w:p>
            <w:r>
              <w:t>A0 TARGET INVENTORY</w:t>
            </w:r>
          </w:p>
        </w:tc>
        <w:tc>
          <w:tcPr>
            <w:tcW w:type="dxa" w:w="5071"/>
          </w:tcPr>
          <w:p>
            <w:r>
              <w:t>Enumerate plausible public destination-control targets; record sanitized visible labels and locator multiplicity.</w:t>
            </w:r>
          </w:p>
        </w:tc>
      </w:tr>
      <w:tr>
        <w:tc>
          <w:tcPr>
            <w:tcW w:type="dxa" w:w="5071"/>
          </w:tcPr>
          <w:p>
            <w:r>
              <w:t>A1 TARGET BIND</w:t>
            </w:r>
          </w:p>
        </w:tc>
        <w:tc>
          <w:tcPr>
            <w:tcW w:type="dxa" w:w="5071"/>
          </w:tcPr>
          <w:p>
            <w:r>
              <w:t>Identify the exact target current code intends to interact with; ambiguity must be explicit.</w:t>
            </w:r>
          </w:p>
        </w:tc>
      </w:tr>
      <w:tr>
        <w:tc>
          <w:tcPr>
            <w:tcW w:type="dxa" w:w="5071"/>
          </w:tcPr>
          <w:p>
            <w:r>
              <w:t>A2 TARGET READINESS</w:t>
            </w:r>
          </w:p>
        </w:tc>
        <w:tc>
          <w:tcPr>
            <w:tcW w:type="dxa" w:w="5071"/>
          </w:tcPr>
          <w:p>
            <w:r>
              <w:t>Visible/enabled/attached/stable/bounding-box evidence before interaction.</w:t>
            </w:r>
          </w:p>
        </w:tc>
      </w:tr>
      <w:tr>
        <w:tc>
          <w:tcPr>
            <w:tcW w:type="dxa" w:w="5071"/>
          </w:tcPr>
          <w:p>
            <w:r>
              <w:t>A3 PRE-CLICK FOCUS</w:t>
            </w:r>
          </w:p>
        </w:tc>
        <w:tc>
          <w:tcPr>
            <w:tcW w:type="dxa" w:w="5071"/>
          </w:tcPr>
          <w:p>
            <w:r>
              <w:t>Public focus/active-element relation before interaction; no provider-private state.</w:t>
            </w:r>
          </w:p>
        </w:tc>
      </w:tr>
      <w:tr>
        <w:tc>
          <w:tcPr>
            <w:tcW w:type="dxa" w:w="5071"/>
          </w:tcPr>
          <w:p>
            <w:r>
              <w:t>A4 INTERACTION PATH</w:t>
            </w:r>
          </w:p>
        </w:tc>
        <w:tc>
          <w:tcPr>
            <w:tcW w:type="dxa" w:w="5071"/>
          </w:tcPr>
          <w:p>
            <w:r>
              <w:t>Record which legitimate browser-level interaction primitive/path is being diagnostically exercised.</w:t>
            </w:r>
          </w:p>
        </w:tc>
      </w:tr>
      <w:tr>
        <w:tc>
          <w:tcPr>
            <w:tcW w:type="dxa" w:w="5071"/>
          </w:tcPr>
          <w:p>
            <w:r>
              <w:t>A5 POST-CLICK RECEIPT</w:t>
            </w:r>
          </w:p>
        </w:tc>
        <w:tc>
          <w:tcPr>
            <w:tcW w:type="dxa" w:w="5071"/>
          </w:tcPr>
          <w:p>
            <w:r>
              <w:t>Evidence that the target remained attached and the interaction completed without framework error.</w:t>
            </w:r>
          </w:p>
        </w:tc>
      </w:tr>
      <w:tr>
        <w:tc>
          <w:tcPr>
            <w:tcW w:type="dxa" w:w="5071"/>
          </w:tcPr>
          <w:p>
            <w:r>
              <w:t>A6 FOCUS/LIFECYCLE DELTA</w:t>
            </w:r>
          </w:p>
        </w:tc>
        <w:tc>
          <w:tcPr>
            <w:tcW w:type="dxa" w:w="5071"/>
          </w:tcPr>
          <w:p>
            <w:r>
              <w:t>Public focus, visible DOM, context count, or target re-render changes immediately after interaction.</w:t>
            </w:r>
          </w:p>
        </w:tc>
      </w:tr>
      <w:tr>
        <w:tc>
          <w:tcPr>
            <w:tcW w:type="dxa" w:w="5071"/>
          </w:tcPr>
          <w:p>
            <w:r>
              <w:t>A7 SELECTOR MARKER SAMPLING</w:t>
            </w:r>
          </w:p>
        </w:tc>
        <w:tc>
          <w:tcPr>
            <w:tcW w:type="dxa" w:w="5071"/>
          </w:tcPr>
          <w:p>
            <w:r>
              <w:t>Bounded samples for public city-selector markers, candidate labels and selector visibility.</w:t>
            </w:r>
          </w:p>
        </w:tc>
      </w:tr>
      <w:tr>
        <w:tc>
          <w:tcPr>
            <w:tcW w:type="dxa" w:w="5071"/>
          </w:tcPr>
          <w:p>
            <w:r>
              <w:t>A8 ACTIVATION CLASS</w:t>
            </w:r>
          </w:p>
        </w:tc>
        <w:tc>
          <w:tcPr>
            <w:tcW w:type="dxa" w:w="5071"/>
          </w:tcPr>
          <w:p>
            <w:r>
              <w:t>Classify OPENED / TARGET_MISMATCH / TARGET_AMBIGUOUS / TARGET_REPLACED / CLICK_NO_ACTIVATION / DELAYED_ACTIVATION / UNKNOWN.</w:t>
            </w:r>
          </w:p>
        </w:tc>
      </w:tr>
      <w:tr>
        <w:tc>
          <w:tcPr>
            <w:tcW w:type="dxa" w:w="5071"/>
          </w:tcPr>
          <w:p>
            <w:r>
              <w:t>A9 HUMAN VISUAL CORRELATION</w:t>
            </w:r>
          </w:p>
        </w:tc>
        <w:tc>
          <w:tcPr>
            <w:tcW w:type="dxa" w:w="5071"/>
          </w:tcPr>
          <w:p>
            <w:r>
              <w:t>For headed runs, compare automated target and post-click visual state to the known human golden path screenshots.</w:t>
            </w:r>
          </w:p>
        </w:tc>
      </w:tr>
      <w:tr>
        <w:tc>
          <w:tcPr>
            <w:tcW w:type="dxa" w:w="5071"/>
          </w:tcPr>
          <w:p>
            <w:r>
              <w:t>A10 ROOT CLASS</w:t>
            </w:r>
          </w:p>
        </w:tc>
        <w:tc>
          <w:tcPr>
            <w:tcW w:type="dxa" w:w="5071"/>
          </w:tcPr>
          <w:p>
            <w:r>
              <w:t>Emit one narrow root classification and stop; do not repair.</w:t>
            </w:r>
          </w:p>
        </w:tc>
      </w:tr>
    </w:tbl>
    <w:p>
      <w:pPr>
        <w:pStyle w:val="Heading1"/>
      </w:pPr>
      <w:r>
        <w:t>6. Legitimate Interaction Probe Boundary</w:t>
      </w:r>
    </w:p>
    <w:p>
      <w:r>
        <w:t>The diagnostic may compare browser-level public interaction semantics only to determine what activates the same visible control. Examples may include the repository's current Playwright click path versus a standard pointer/mouse sequence supported by Playwright. These probes are diagnostic observations, not production fallbacks.</w:t>
      </w:r>
    </w:p>
    <w:p>
      <w:pPr>
        <w:pStyle w:val="ListBullet"/>
      </w:pPr>
      <w:r>
        <w:t>Each probe must target the same semantically identified public control.</w:t>
      </w:r>
    </w:p>
    <w:p>
      <w:pPr>
        <w:pStyle w:val="ListBullet"/>
      </w:pPr>
      <w:r>
        <w:t>At most one interaction is attempted per fresh planned observation; no repeated click-until-open loop.</w:t>
      </w:r>
    </w:p>
    <w:p>
      <w:pPr>
        <w:pStyle w:val="ListBullet"/>
      </w:pPr>
      <w:r>
        <w:t>A probe that opens the selector is evidence of interaction-semantic sensitivity, not authorization to ship that path automatically.</w:t>
      </w:r>
    </w:p>
    <w:p>
      <w:pPr>
        <w:pStyle w:val="ListBullet"/>
      </w:pPr>
      <w:r>
        <w:t>Synthetic DOM event injection or JavaScript execution to force activation is forbidden.</w:t>
      </w:r>
    </w:p>
    <w:p>
      <w:pPr>
        <w:pStyle w:val="Heading1"/>
      </w:pPr>
      <w:r>
        <w:t>7. Timing &amp; Live Budget</w:t>
      </w:r>
    </w:p>
    <w:p>
      <w:pPr>
        <w:pStyle w:val="ListBullet"/>
      </w:pPr>
      <w:r>
        <w:t>Planned live budget: up to 3 headed + 2 headless observations, total ≤5; retries=0 per observation.</w:t>
      </w:r>
    </w:p>
    <w:p>
      <w:pPr>
        <w:pStyle w:val="ListBullet"/>
      </w:pPr>
      <w:r>
        <w:t>Prefer headed first because the known human golden path is visual and selector activation is the target.</w:t>
      </w:r>
    </w:p>
    <w:p>
      <w:pPr>
        <w:pStyle w:val="ListBullet"/>
      </w:pPr>
      <w:r>
        <w:t>Stop early once one root class is supported by sufficient evidence; do not exhaust budget mechanically.</w:t>
      </w:r>
    </w:p>
    <w:p>
      <w:pPr>
        <w:pStyle w:val="ListBullet"/>
      </w:pPr>
      <w:r>
        <w:t>Each provider access requires Unicode-safe preflight and cwd-independent LOCAL-ONLY evidence path before browser launch.</w:t>
      </w:r>
    </w:p>
    <w:p>
      <w:pPr>
        <w:pStyle w:val="ListBullet"/>
      </w:pPr>
      <w:r>
        <w:t>Selector observation window must remain bounded. Reuse existing timing discipline; no global timeout inflation. One objective-progress extension may be used only if already authorized by existing timing contracts.</w:t>
      </w:r>
    </w:p>
    <w:p>
      <w:pPr>
        <w:pStyle w:val="ListBullet"/>
      </w:pPr>
      <w:r>
        <w:t>No submit is needed for DIAG-U10 success. If selector activation is proven, stop before candidate selection/submit unless the diagnostic contract explicitly requires a harmless public visibility check.</w:t>
      </w:r>
    </w:p>
    <w:p>
      <w:pPr>
        <w:pStyle w:val="Heading1"/>
      </w:pPr>
      <w:r>
        <w:t>8. Mandatory Offline Tests</w:t>
      </w:r>
    </w:p>
    <w:tbl>
      <w:tblPr>
        <w:tblStyle w:val="TableGrid"/>
        <w:tblW w:type="auto" w:w="0"/>
        <w:tblLook w:firstColumn="1" w:firstRow="1" w:lastColumn="0" w:lastRow="0" w:noHBand="0" w:noVBand="1" w:val="04A0"/>
      </w:tblPr>
      <w:tblGrid>
        <w:gridCol w:w="5071"/>
        <w:gridCol w:w="5071"/>
      </w:tblGrid>
      <w:tr>
        <w:tc>
          <w:tcPr>
            <w:tcW w:type="dxa" w:w="5071"/>
            <w:shd w:fill="D9EAF7"/>
          </w:tcPr>
          <w:p>
            <w:r>
              <w:t>Test</w:t>
            </w:r>
          </w:p>
        </w:tc>
        <w:tc>
          <w:tcPr>
            <w:tcW w:type="dxa" w:w="5071"/>
            <w:shd w:fill="D9EAF7"/>
          </w:tcPr>
          <w:p>
            <w:r>
              <w:t>Required behavior</w:t>
            </w:r>
          </w:p>
        </w:tc>
      </w:tr>
      <w:tr>
        <w:tc>
          <w:tcPr>
            <w:tcW w:type="dxa" w:w="5071"/>
          </w:tcPr>
          <w:p>
            <w:r>
              <w:t>DU10-01</w:t>
            </w:r>
          </w:p>
        </w:tc>
        <w:tc>
          <w:tcPr>
            <w:tcW w:type="dxa" w:w="5071"/>
          </w:tcPr>
          <w:p>
            <w:r>
              <w:t>Single correct visible destination target is inventoried and bound.</w:t>
            </w:r>
          </w:p>
        </w:tc>
      </w:tr>
      <w:tr>
        <w:tc>
          <w:tcPr>
            <w:tcW w:type="dxa" w:w="5071"/>
          </w:tcPr>
          <w:p>
            <w:r>
              <w:t>DU10-02</w:t>
            </w:r>
          </w:p>
        </w:tc>
        <w:tc>
          <w:tcPr>
            <w:tcW w:type="dxa" w:w="5071"/>
          </w:tcPr>
          <w:p>
            <w:r>
              <w:t>Multiple plausible targets produce TARGET_AMBIGUOUS; no guess.</w:t>
            </w:r>
          </w:p>
        </w:tc>
      </w:tr>
      <w:tr>
        <w:tc>
          <w:tcPr>
            <w:tcW w:type="dxa" w:w="5071"/>
          </w:tcPr>
          <w:p>
            <w:r>
              <w:t>DU10-03</w:t>
            </w:r>
          </w:p>
        </w:tc>
        <w:tc>
          <w:tcPr>
            <w:tcW w:type="dxa" w:w="5071"/>
          </w:tcPr>
          <w:p>
            <w:r>
              <w:t>Wrong/hidden target is not treated as human-equivalent target.</w:t>
            </w:r>
          </w:p>
        </w:tc>
      </w:tr>
      <w:tr>
        <w:tc>
          <w:tcPr>
            <w:tcW w:type="dxa" w:w="5071"/>
          </w:tcPr>
          <w:p>
            <w:r>
              <w:t>DU10-04</w:t>
            </w:r>
          </w:p>
        </w:tc>
        <w:tc>
          <w:tcPr>
            <w:tcW w:type="dxa" w:w="5071"/>
          </w:tcPr>
          <w:p>
            <w:r>
              <w:t>Target readiness captures visible/enabled/attached/bounding evidence.</w:t>
            </w:r>
          </w:p>
        </w:tc>
      </w:tr>
      <w:tr>
        <w:tc>
          <w:tcPr>
            <w:tcW w:type="dxa" w:w="5071"/>
          </w:tcPr>
          <w:p>
            <w:r>
              <w:t>DU10-05</w:t>
            </w:r>
          </w:p>
        </w:tc>
        <w:tc>
          <w:tcPr>
            <w:tcW w:type="dxa" w:w="5071"/>
          </w:tcPr>
          <w:p>
            <w:r>
              <w:t>Target replaced/re-rendered before click classifies TARGET_REPLACED.</w:t>
            </w:r>
          </w:p>
        </w:tc>
      </w:tr>
      <w:tr>
        <w:tc>
          <w:tcPr>
            <w:tcW w:type="dxa" w:w="5071"/>
          </w:tcPr>
          <w:p>
            <w:r>
              <w:t>DU10-06</w:t>
            </w:r>
          </w:p>
        </w:tc>
        <w:tc>
          <w:tcPr>
            <w:tcW w:type="dxa" w:w="5071"/>
          </w:tcPr>
          <w:p>
            <w:r>
              <w:t>Interaction completes but selector absent classifies CLICK_NO_ACTIVATION.</w:t>
            </w:r>
          </w:p>
        </w:tc>
      </w:tr>
      <w:tr>
        <w:tc>
          <w:tcPr>
            <w:tcW w:type="dxa" w:w="5071"/>
          </w:tcPr>
          <w:p>
            <w:r>
              <w:t>DU10-07</w:t>
            </w:r>
          </w:p>
        </w:tc>
        <w:tc>
          <w:tcPr>
            <w:tcW w:type="dxa" w:w="5071"/>
          </w:tcPr>
          <w:p>
            <w:r>
              <w:t>Selector appears immediately and classifies OPENED.</w:t>
            </w:r>
          </w:p>
        </w:tc>
      </w:tr>
      <w:tr>
        <w:tc>
          <w:tcPr>
            <w:tcW w:type="dxa" w:w="5071"/>
          </w:tcPr>
          <w:p>
            <w:r>
              <w:t>DU10-08</w:t>
            </w:r>
          </w:p>
        </w:tc>
        <w:tc>
          <w:tcPr>
            <w:tcW w:type="dxa" w:w="5071"/>
          </w:tcPr>
          <w:p>
            <w:r>
              <w:t>Selector appears within bounded objective transition and classifies DELAYED_ACTIVATION.</w:t>
            </w:r>
          </w:p>
        </w:tc>
      </w:tr>
      <w:tr>
        <w:tc>
          <w:tcPr>
            <w:tcW w:type="dxa" w:w="5071"/>
          </w:tcPr>
          <w:p>
            <w:r>
              <w:t>DU10-09</w:t>
            </w:r>
          </w:p>
        </w:tc>
        <w:tc>
          <w:tcPr>
            <w:tcW w:type="dxa" w:w="5071"/>
          </w:tcPr>
          <w:p>
            <w:r>
              <w:t>Public focus delta is recorded without private provider state.</w:t>
            </w:r>
          </w:p>
        </w:tc>
      </w:tr>
      <w:tr>
        <w:tc>
          <w:tcPr>
            <w:tcW w:type="dxa" w:w="5071"/>
          </w:tcPr>
          <w:p>
            <w:r>
              <w:t>DU10-10</w:t>
            </w:r>
          </w:p>
        </w:tc>
        <w:tc>
          <w:tcPr>
            <w:tcW w:type="dxa" w:w="5071"/>
          </w:tcPr>
          <w:p>
            <w:r>
              <w:t>Candidate labels are sanitized; no session/private data captured.</w:t>
            </w:r>
          </w:p>
        </w:tc>
      </w:tr>
      <w:tr>
        <w:tc>
          <w:tcPr>
            <w:tcW w:type="dxa" w:w="5071"/>
          </w:tcPr>
          <w:p>
            <w:r>
              <w:t>DU10-11</w:t>
            </w:r>
          </w:p>
        </w:tc>
        <w:tc>
          <w:tcPr>
            <w:tcW w:type="dxa" w:w="5071"/>
          </w:tcPr>
          <w:p>
            <w:r>
              <w:t>Diagnostic probe does not mutate production interaction path.</w:t>
            </w:r>
          </w:p>
        </w:tc>
      </w:tr>
      <w:tr>
        <w:tc>
          <w:tcPr>
            <w:tcW w:type="dxa" w:w="5071"/>
          </w:tcPr>
          <w:p>
            <w:r>
              <w:t>DU10-12</w:t>
            </w:r>
          </w:p>
        </w:tc>
        <w:tc>
          <w:tcPr>
            <w:tcW w:type="dxa" w:w="5071"/>
          </w:tcPr>
          <w:p>
            <w:r>
              <w:t>No JavaScript click/dispatchEvent/DOM mutation helper is introduced.</w:t>
            </w:r>
          </w:p>
        </w:tc>
      </w:tr>
      <w:tr>
        <w:tc>
          <w:tcPr>
            <w:tcW w:type="dxa" w:w="5071"/>
          </w:tcPr>
          <w:p>
            <w:r>
              <w:t>DU10-13</w:t>
            </w:r>
          </w:p>
        </w:tc>
        <w:tc>
          <w:tcPr>
            <w:tcW w:type="dxa" w:w="5071"/>
          </w:tcPr>
          <w:p>
            <w:r>
              <w:t>No repeated click/retry loop is introduced.</w:t>
            </w:r>
          </w:p>
        </w:tc>
      </w:tr>
      <w:tr>
        <w:tc>
          <w:tcPr>
            <w:tcW w:type="dxa" w:w="5071"/>
          </w:tcPr>
          <w:p>
            <w:r>
              <w:t>DU10-14</w:t>
            </w:r>
          </w:p>
        </w:tc>
        <w:tc>
          <w:tcPr>
            <w:tcW w:type="dxa" w:w="5071"/>
          </w:tcPr>
          <w:p>
            <w:r>
              <w:t>Human visual correlation metadata is optional/local-only and does not become semantic truth automatically.</w:t>
            </w:r>
          </w:p>
        </w:tc>
      </w:tr>
      <w:tr>
        <w:tc>
          <w:tcPr>
            <w:tcW w:type="dxa" w:w="5071"/>
          </w:tcPr>
          <w:p>
            <w:r>
              <w:t>DU10-15</w:t>
            </w:r>
          </w:p>
        </w:tc>
        <w:tc>
          <w:tcPr>
            <w:tcW w:type="dxa" w:w="5071"/>
          </w:tcPr>
          <w:p>
            <w:r>
              <w:t>Headed/headless mode difference is explicit, not silently merged.</w:t>
            </w:r>
          </w:p>
        </w:tc>
      </w:tr>
      <w:tr>
        <w:tc>
          <w:tcPr>
            <w:tcW w:type="dxa" w:w="5071"/>
          </w:tcPr>
          <w:p>
            <w:r>
              <w:t>DU10-16</w:t>
            </w:r>
          </w:p>
        </w:tc>
        <w:tc>
          <w:tcPr>
            <w:tcW w:type="dxa" w:w="5071"/>
          </w:tcPr>
          <w:p>
            <w:r>
              <w:t>Existing U9 destination commit gate remains unchanged.</w:t>
            </w:r>
          </w:p>
        </w:tc>
      </w:tr>
      <w:tr>
        <w:tc>
          <w:tcPr>
            <w:tcW w:type="dxa" w:w="5071"/>
          </w:tcPr>
          <w:p>
            <w:r>
              <w:t>DU10-17</w:t>
            </w:r>
          </w:p>
        </w:tc>
        <w:tc>
          <w:tcPr>
            <w:tcW w:type="dxa" w:w="5071"/>
          </w:tcPr>
          <w:p>
            <w:r>
              <w:t>Existing date commit, D0-D9, Q1/Q5 preserved.</w:t>
            </w:r>
          </w:p>
        </w:tc>
      </w:tr>
      <w:tr>
        <w:tc>
          <w:tcPr>
            <w:tcW w:type="dxa" w:w="5071"/>
          </w:tcPr>
          <w:p>
            <w:r>
              <w:t>DU10-18</w:t>
            </w:r>
          </w:p>
        </w:tc>
        <w:tc>
          <w:tcPr>
            <w:tcW w:type="dxa" w:w="5071"/>
          </w:tcPr>
          <w:p>
            <w:r>
              <w:t>Existing P0-P7/H0-H8/C0-C8 diagnostics preserved.</w:t>
            </w:r>
          </w:p>
        </w:tc>
      </w:tr>
      <w:tr>
        <w:tc>
          <w:tcPr>
            <w:tcW w:type="dxa" w:w="5071"/>
          </w:tcPr>
          <w:p>
            <w:r>
              <w:t>DU10-19</w:t>
            </w:r>
          </w:p>
        </w:tc>
        <w:tc>
          <w:tcPr>
            <w:tcW w:type="dxa" w:w="5071"/>
          </w:tcPr>
          <w:p>
            <w:r>
              <w:t>L1/L2/shared contracts untouched.</w:t>
            </w:r>
          </w:p>
        </w:tc>
      </w:tr>
      <w:tr>
        <w:tc>
          <w:tcPr>
            <w:tcW w:type="dxa" w:w="5071"/>
          </w:tcPr>
          <w:p>
            <w:r>
              <w:t>DU10-20</w:t>
            </w:r>
          </w:p>
        </w:tc>
        <w:tc>
          <w:tcPr>
            <w:tcW w:type="dxa" w:w="5071"/>
          </w:tcPr>
          <w:p>
            <w:r>
              <w:t>Unicode-safe preflight failure aborts before provider access.</w:t>
            </w:r>
          </w:p>
        </w:tc>
      </w:tr>
    </w:tbl>
    <w:p>
      <w:r>
        <w:t>Required gates: focused FLIGGY tests; full backend unit suite; Ruff; Pyright; PowerShell syntax if harness touched; git diff --check.</w:t>
      </w:r>
    </w:p>
    <w:p>
      <w:pPr>
        <w:pStyle w:val="Heading1"/>
      </w:pPr>
      <w:r>
        <w:t>9. Root Classification</w:t>
      </w:r>
    </w:p>
    <w:tbl>
      <w:tblPr>
        <w:tblStyle w:val="TableGrid"/>
        <w:tblW w:type="auto" w:w="0"/>
        <w:tblLook w:firstColumn="1" w:firstRow="1" w:lastColumn="0" w:lastRow="0" w:noHBand="0" w:noVBand="1" w:val="04A0"/>
      </w:tblPr>
      <w:tblGrid>
        <w:gridCol w:w="5071"/>
        <w:gridCol w:w="5071"/>
      </w:tblGrid>
      <w:tr>
        <w:tc>
          <w:tcPr>
            <w:tcW w:type="dxa" w:w="5071"/>
            <w:shd w:fill="D9EAF7"/>
          </w:tcPr>
          <w:p>
            <w:r>
              <w:t>Root class</w:t>
            </w:r>
          </w:p>
        </w:tc>
        <w:tc>
          <w:tcPr>
            <w:tcW w:type="dxa" w:w="5071"/>
            <w:shd w:fill="D9EAF7"/>
          </w:tcPr>
          <w:p>
            <w:r>
              <w:t>Meaning</w:t>
            </w:r>
          </w:p>
        </w:tc>
      </w:tr>
      <w:tr>
        <w:tc>
          <w:tcPr>
            <w:tcW w:type="dxa" w:w="5071"/>
          </w:tcPr>
          <w:p>
            <w:r>
              <w:t>PUBLIC_TARGET_MISMATCH_LOCALIZED</w:t>
            </w:r>
          </w:p>
        </w:tc>
        <w:tc>
          <w:tcPr>
            <w:tcW w:type="dxa" w:w="5071"/>
          </w:tcPr>
          <w:p>
            <w:r>
              <w:t>Automation is not interacting with the same public destination control as the human golden path.</w:t>
            </w:r>
          </w:p>
        </w:tc>
      </w:tr>
      <w:tr>
        <w:tc>
          <w:tcPr>
            <w:tcW w:type="dxa" w:w="5071"/>
          </w:tcPr>
          <w:p>
            <w:r>
              <w:t>PUBLIC_TARGET_AMBIGUITY_LOCALIZED</w:t>
            </w:r>
          </w:p>
        </w:tc>
        <w:tc>
          <w:tcPr>
            <w:tcW w:type="dxa" w:w="5071"/>
          </w:tcPr>
          <w:p>
            <w:r>
              <w:t>Multiple plausible controls exist and current locator cannot deterministically bind the human-equivalent one.</w:t>
            </w:r>
          </w:p>
        </w:tc>
      </w:tr>
      <w:tr>
        <w:tc>
          <w:tcPr>
            <w:tcW w:type="dxa" w:w="5071"/>
          </w:tcPr>
          <w:p>
            <w:r>
              <w:t>PUBLIC_TARGET_LIFECYCLE_REPLACEMENT_LOCALIZED</w:t>
            </w:r>
          </w:p>
        </w:tc>
        <w:tc>
          <w:tcPr>
            <w:tcW w:type="dxa" w:w="5071"/>
          </w:tcPr>
          <w:p>
            <w:r>
              <w:t>Correct target is replaced/re-rendered across readiness→interaction.</w:t>
            </w:r>
          </w:p>
        </w:tc>
      </w:tr>
      <w:tr>
        <w:tc>
          <w:tcPr>
            <w:tcW w:type="dxa" w:w="5071"/>
          </w:tcPr>
          <w:p>
            <w:r>
              <w:t>PUBLIC_INTERACTION_SEMANTICS_LOCALIZED</w:t>
            </w:r>
          </w:p>
        </w:tc>
        <w:tc>
          <w:tcPr>
            <w:tcW w:type="dxa" w:w="5071"/>
          </w:tcPr>
          <w:p>
            <w:r>
              <w:t>Same correct target responds to a legitimate human-like browser interaction path but not the current path.</w:t>
            </w:r>
          </w:p>
        </w:tc>
      </w:tr>
      <w:tr>
        <w:tc>
          <w:tcPr>
            <w:tcW w:type="dxa" w:w="5071"/>
          </w:tcPr>
          <w:p>
            <w:r>
              <w:t>PUBLIC_SELECTOR_ACTIVATION_DELAY_LOCALIZED</w:t>
            </w:r>
          </w:p>
        </w:tc>
        <w:tc>
          <w:tcPr>
            <w:tcW w:type="dxa" w:w="5071"/>
          </w:tcPr>
          <w:p>
            <w:r>
              <w:t>Correct target/interaction works but selector appears only after an objective bounded transition.</w:t>
            </w:r>
          </w:p>
        </w:tc>
      </w:tr>
      <w:tr>
        <w:tc>
          <w:tcPr>
            <w:tcW w:type="dxa" w:w="5071"/>
          </w:tcPr>
          <w:p>
            <w:r>
              <w:t>MODE_DEPENDENT_SELECTOR_ACTIVATION_LOCALIZED</w:t>
            </w:r>
          </w:p>
        </w:tc>
        <w:tc>
          <w:tcPr>
            <w:tcW w:type="dxa" w:w="5071"/>
          </w:tcPr>
          <w:p>
            <w:r>
              <w:t>Headed/headless behavior differs materially.</w:t>
            </w:r>
          </w:p>
        </w:tc>
      </w:tr>
      <w:tr>
        <w:tc>
          <w:tcPr>
            <w:tcW w:type="dxa" w:w="5071"/>
          </w:tcPr>
          <w:p>
            <w:r>
              <w:t>DIAGNOSTIC_INSUFFICIENT</w:t>
            </w:r>
          </w:p>
        </w:tc>
        <w:tc>
          <w:tcPr>
            <w:tcW w:type="dxa" w:w="5071"/>
          </w:tcPr>
          <w:p>
            <w:r>
              <w:t>Evidence does not support one narrow root class.</w:t>
            </w:r>
          </w:p>
        </w:tc>
      </w:tr>
    </w:tbl>
    <w:p>
      <w:pPr>
        <w:pStyle w:val="Heading1"/>
      </w:pPr>
      <w:r>
        <w:t>10. Diagnostic Verdicts &amp; STOP</w:t>
      </w:r>
    </w:p>
    <w:p>
      <w:pPr>
        <w:pStyle w:val="ListBullet"/>
      </w:pPr>
      <w:r>
        <w:t>`PASS — PUBLIC DESTINATION CONTROL ACTIVATION ROOT CAUSE LOCALIZED`</w:t>
      </w:r>
    </w:p>
    <w:p>
      <w:pPr>
        <w:pStyle w:val="ListBullet"/>
      </w:pPr>
      <w:r>
        <w:t>`PASS — PUBLIC INTERACTION SEMANTICS ROOT CAUSE LOCALIZED`</w:t>
      </w:r>
    </w:p>
    <w:p>
      <w:pPr>
        <w:pStyle w:val="ListBullet"/>
      </w:pPr>
      <w:r>
        <w:t>`PASS — MODE-DEPENDENT SELECTOR ACTIVATION ROOT CAUSE LOCALIZED`</w:t>
      </w:r>
    </w:p>
    <w:p>
      <w:pPr>
        <w:pStyle w:val="ListBullet"/>
      </w:pPr>
      <w:r>
        <w:t>`BLOCKED — DIAGNOSTIC_INSUFFICIENT`</w:t>
      </w:r>
    </w:p>
    <w:p>
      <w:pPr>
        <w:pStyle w:val="ListBullet"/>
      </w:pPr>
      <w:r>
        <w:t>`INCONCLUSIVE — LIVE ENVIRONMENT/NETWORK EVIDENCE INSUFFICIENT`</w:t>
      </w:r>
    </w:p>
    <w:p>
      <w:pPr>
        <w:pStyle w:val="ListBullet"/>
      </w:pPr>
      <w:r>
        <w:t>`BLOCKED — ACCESS_CHALLENGE`</w:t>
      </w:r>
    </w:p>
    <w:p>
      <w:pPr>
        <w:pStyle w:val="ListBullet"/>
      </w:pPr>
      <w:r>
        <w:t>`CONTRACT AMENDMENT REQUIRED`</w:t>
      </w:r>
    </w:p>
    <w:p>
      <w:r>
        <w:t>A PASS means DIAG-U10 has localized the activation problem; it does not mean the selector repair is implemented. After the verdict: self-review, commit/push any authorized diagnostic instrumentation, verify remote and clean, then STOP. Recovery-U10 is NOT automatically authorized.</w:t>
      </w:r>
    </w:p>
    <w:p>
      <w:pPr>
        <w:pStyle w:val="Heading1"/>
      </w:pPr>
      <w:r>
        <w:t>11. Expected Next Decision</w:t>
      </w:r>
    </w:p>
    <w:p>
      <w:r>
        <w:t>Only after DIAG-U10 should a separate Recovery-U10 be designed. Its repair target must be the single localized public interaction issue, not a broad rewrite of destination acquisition. If the same public target and legitimate interaction can be reproduced, U9's existing candidate matching, destination commit gate, date commit, Q1, submit-once and Q5 contracts should remain the downstream path.</w:t>
      </w:r>
    </w:p>
    <w:sectPr w:rsidR="00FC693F" w:rsidRPr="0006063C" w:rsidSect="00034616">
      <w:pgSz w:w="12240" w:h="15840"/>
      <w:pgMar w:top="907" w:right="1049" w:bottom="907"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