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机票筛选 Agent</w:t>
      </w:r>
    </w:p>
    <w:p>
      <w:pPr>
        <w:jc w:val="center"/>
      </w:pPr>
      <w:r>
        <w:rPr>
          <w:rFonts w:ascii="Microsoft YaHei" w:hAnsi="Microsoft YaHei" w:eastAsia="Microsoft YaHei"/>
          <w:b/>
          <w:sz w:val="42"/>
        </w:rPr>
        <w:t>M9 FLIGGY Evidence → Mapped Mapper Unit Specification</w:t>
      </w:r>
    </w:p>
    <w:p>
      <w:pPr>
        <w:jc w:val="center"/>
      </w:pPr>
      <w:r>
        <w:rPr>
          <w:rFonts w:ascii="Microsoft YaHei" w:hAnsi="Microsoft YaHei" w:eastAsia="Microsoft YaHei"/>
          <w:b/>
          <w:sz w:val="26"/>
        </w:rPr>
        <w:t>V1.0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t>Milestone / Unit</w:t>
            </w:r>
          </w:p>
        </w:tc>
        <w:tc>
          <w:tcPr>
            <w:tcW w:type="dxa" w:w="4986"/>
          </w:tcPr>
          <w:p>
            <w:r>
              <w:t>M9-FLIGGY-MAPPER-U1</w:t>
            </w:r>
          </w:p>
        </w:tc>
      </w:tr>
      <w:tr>
        <w:tc>
          <w:tcPr>
            <w:tcW w:type="dxa" w:w="4986"/>
          </w:tcPr>
          <w:p>
            <w:r>
              <w:t>Provider</w:t>
            </w:r>
          </w:p>
        </w:tc>
        <w:tc>
          <w:tcPr>
            <w:tcW w:type="dxa" w:w="4986"/>
          </w:tcPr>
          <w:p>
            <w:r>
              <w:t>FLIGGY</w:t>
            </w:r>
          </w:p>
        </w:tc>
      </w:tr>
      <w:tr>
        <w:tc>
          <w:tcPr>
            <w:tcW w:type="dxa" w:w="4986"/>
          </w:tcPr>
          <w:p>
            <w:r>
              <w:t>目标</w:t>
            </w:r>
          </w:p>
        </w:tc>
        <w:tc>
          <w:tcPr>
            <w:tcW w:type="dxa" w:w="4986"/>
          </w:tcPr>
          <w:p>
            <w:r>
              <w:t>将已验证的 Provider-local Evidence 解释为既有 M4 provider-neutral MappedSegment / MappedItinerary / MappedOffer；不越过 Common Normalizer boundary。</w:t>
            </w:r>
          </w:p>
        </w:tc>
      </w:tr>
      <w:tr>
        <w:tc>
          <w:tcPr>
            <w:tcW w:type="dxa" w:w="4986"/>
          </w:tcPr>
          <w:p>
            <w:r>
              <w:t>Shared Authority</w:t>
            </w:r>
          </w:p>
        </w:tc>
        <w:tc>
          <w:tcPr>
            <w:tcW w:type="dxa" w:w="4986"/>
          </w:tcPr>
          <w:p>
            <w:r>
              <w:t>M9 Shared Canonical Mapping Specification V1.0（已登记为 Shared Authority）</w:t>
            </w:r>
          </w:p>
        </w:tc>
      </w:tr>
      <w:tr>
        <w:tc>
          <w:tcPr>
            <w:tcW w:type="dxa" w:w="4986"/>
          </w:tcPr>
          <w:p>
            <w:r>
              <w:t>Provider Branch</w:t>
            </w:r>
          </w:p>
        </w:tc>
        <w:tc>
          <w:tcPr>
            <w:tcW w:type="dxa" w:w="4986"/>
          </w:tcPr>
          <w:p>
            <w:r>
              <w:t>m9-trackb-fliggy-browser</w:t>
            </w:r>
          </w:p>
        </w:tc>
      </w:tr>
      <w:tr>
        <w:tc>
          <w:tcPr>
            <w:tcW w:type="dxa" w:w="4986"/>
          </w:tcPr>
          <w:p>
            <w:r>
              <w:t>共同 main baseline</w:t>
            </w:r>
          </w:p>
        </w:tc>
        <w:tc>
          <w:tcPr>
            <w:tcW w:type="dxa" w:w="4986"/>
          </w:tcPr>
          <w:p>
            <w:r>
              <w:t>668e02f25d6fca0c104a73a505443a3697bf2b52</w:t>
            </w:r>
          </w:p>
        </w:tc>
      </w:tr>
      <w:tr>
        <w:tc>
          <w:tcPr>
            <w:tcW w:type="dxa" w:w="4986"/>
          </w:tcPr>
          <w:p>
            <w:r>
              <w:t>Contract Amendment</w:t>
            </w:r>
          </w:p>
        </w:tc>
        <w:tc>
          <w:tcPr>
            <w:tcW w:type="dxa" w:w="4986"/>
          </w:tcPr>
          <w:p>
            <w:r>
              <w:t>NONE at design time；真实冲突触发 STOP</w:t>
            </w:r>
          </w:p>
        </w:tc>
      </w:tr>
      <w:tr>
        <w:tc>
          <w:tcPr>
            <w:tcW w:type="dxa" w:w="4986"/>
          </w:tcPr>
          <w:p>
            <w:r>
              <w:t>实现授权</w:t>
            </w:r>
          </w:p>
        </w:tc>
        <w:tc>
          <w:tcPr>
            <w:tcW w:type="dxa" w:w="4986"/>
          </w:tcPr>
          <w:p>
            <w:r>
              <w:t>本 Unit Specification 经 Repository Intake / DOCUMENT_AUTHORITY 登记后，才授权本 Unit 实现。</w:t>
            </w:r>
          </w:p>
        </w:tc>
      </w:tr>
    </w:tbl>
    <w:p/>
    <w:p>
      <w:pPr>
        <w:pStyle w:val="Heading1"/>
      </w:pPr>
      <w:r>
        <w:t>0. 定位与 Authority</w:t>
      </w:r>
    </w:p>
    <w:p>
      <w:r>
        <w:t>本文件是 Provider-specific Evidence→Mapped Mapper Implementation Unit Specification。它只把已批准 Shared Contract 具体化为该 Provider 的解释规则，不重新定义 M2/M4/M6/M7/M8/M9 shared semantics。</w:t>
      </w:r>
    </w:p>
    <w:p>
      <w:pPr>
        <w:pStyle w:val="ListBullet"/>
      </w:pPr>
      <w:r>
        <w:t>Repository 当前 docs/DOCUMENT_AUTHORITY.md 为 canonical authority；冲突时以其为准并 STOP。</w:t>
      </w:r>
    </w:p>
    <w:p>
      <w:pPr>
        <w:pStyle w:val="ListBullet"/>
      </w:pPr>
      <w:r>
        <w:t>Provider Mapper 是 Provider-specific schema/evidence interpretation 的唯一边界；输出 immutable、non-authoritative mapped artifacts。</w:t>
      </w:r>
    </w:p>
    <w:p>
      <w:pPr>
        <w:pStyle w:val="ListBullet"/>
      </w:pPr>
      <w:r>
        <w:t>Common Normalizer、Candidate Merger、Snapshot Assembly、Ranking、Recommendation、Purchase Guidance runtime 均不属于本 Unit。</w:t>
      </w:r>
    </w:p>
    <w:p>
      <w:pPr>
        <w:pStyle w:val="ListBullet"/>
      </w:pPr>
      <w:r>
        <w:t>Prompt/Execution Report 是 local-only，不进入 Repository；本 Specification 属于正式治理资产，应进入 Provider branch 对应 M9 milestone 文档路径并登记 Authority。</w:t>
      </w:r>
    </w:p>
    <w:p>
      <w:pPr>
        <w:pStyle w:val="Heading1"/>
      </w:pPr>
      <w:r>
        <w:t>1. 输入 / 输出边界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方向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Contract</w:t>
            </w:r>
          </w:p>
        </w:tc>
      </w:tr>
      <w:tr>
        <w:tc>
          <w:tcPr>
            <w:tcW w:type="dxa" w:w="4986"/>
          </w:tcPr>
          <w:p>
            <w:r>
              <w:t>Input</w:t>
            </w:r>
          </w:p>
        </w:tc>
        <w:tc>
          <w:tcPr>
            <w:tcW w:type="dxa" w:w="4986"/>
          </w:tcPr>
          <w:p>
            <w:r>
              <w:t>现有 Provider acquisition/evidence typed artifacts、sanitized fixtures、acquisition metadata 与 source/raw references；不得绕过既有 acquisition boundary 重新爬取。</w:t>
            </w:r>
          </w:p>
        </w:tc>
      </w:tr>
      <w:tr>
        <w:tc>
          <w:tcPr>
            <w:tcW w:type="dxa" w:w="4986"/>
          </w:tcPr>
          <w:p>
            <w:r>
              <w:t>Output</w:t>
            </w:r>
          </w:p>
        </w:tc>
        <w:tc>
          <w:tcPr>
            <w:tcW w:type="dxa" w:w="4986"/>
          </w:tcPr>
          <w:p>
            <w:r>
              <w:t>既有 M4 MappedSegment / MappedItinerary / MappedOffer 或 Repository 中等价的既有 mapped types；附 mapping issues/statistics、provenance 与 mapper_version。</w:t>
            </w:r>
          </w:p>
        </w:tc>
      </w:tr>
      <w:tr>
        <w:tc>
          <w:tcPr>
            <w:tcW w:type="dxa" w:w="4986"/>
          </w:tcPr>
          <w:p>
            <w:r>
              <w:t>No Output</w:t>
            </w:r>
          </w:p>
        </w:tc>
        <w:tc>
          <w:tcPr>
            <w:tcW w:type="dxa" w:w="4986"/>
          </w:tcPr>
          <w:p>
            <w:r>
              <w:t>不得直接输出 Canonical FlightSegment / Itinerary / Offer、CandidateSnapshot、RecommendationResult 或 PurchaseGuidance。</w:t>
            </w:r>
          </w:p>
        </w:tc>
      </w:tr>
    </w:tbl>
    <w:p/>
    <w:p>
      <w:pPr>
        <w:pStyle w:val="Heading1"/>
      </w:pPr>
      <w:r>
        <w:t>2. Shared Mapper Invariants</w:t>
      </w:r>
    </w:p>
    <w:p>
      <w:pPr>
        <w:pStyle w:val="ListBullet"/>
      </w:pPr>
      <w:r>
        <w:t>Interpret, don't enrich：只映射 Evidence 能可靠支持的事实。</w:t>
      </w:r>
    </w:p>
    <w:p>
      <w:pPr>
        <w:pStyle w:val="ListBullet"/>
      </w:pPr>
      <w:r>
        <w:t>MissingValue 沿用既有 known / unknown / not_provided / not_applicable；不得发明 mapping-error missing state。</w:t>
      </w:r>
    </w:p>
    <w:p>
      <w:pPr>
        <w:pStyle w:val="ListBullet"/>
      </w:pPr>
      <w:r>
        <w:t>optional-field failure 可 mapped-with-issues；结构关键事实不足则 drop 对应 subgraph。</w:t>
      </w:r>
    </w:p>
    <w:p>
      <w:pPr>
        <w:pStyle w:val="ListBullet"/>
      </w:pPr>
      <w:r>
        <w:t>失败 Segment 不得被删除后重组 Itinerary。</w:t>
      </w:r>
    </w:p>
    <w:p>
      <w:pPr>
        <w:pStyle w:val="ListBullet"/>
      </w:pPr>
      <w:r>
        <w:t>Provider source ID / raw ref / mapped-local identity / canonical identity 分离。</w:t>
      </w:r>
    </w:p>
    <w:p>
      <w:pPr>
        <w:pStyle w:val="ListBullet"/>
      </w:pPr>
      <w:r>
        <w:t>每个 mapped artifact 至少可追溯 Provider acquisition + raw/evidence record；mapper_version 独立记录。</w:t>
      </w:r>
    </w:p>
    <w:p>
      <w:pPr>
        <w:pStyle w:val="ListBullet"/>
      </w:pPr>
      <w:r>
        <w:t>Provider-specific interpretation 截止于 Mapper；Common Normalizer 不得看到 Provider raw schema 才能理解结果。</w:t>
      </w:r>
    </w:p>
    <w:p>
      <w:pPr>
        <w:pStyle w:val="ListBullet"/>
      </w:pPr>
      <w:r>
        <w:t>EMPTY / ERROR / PARTIAL 不得混淆；mapping partial failure 不伪装 provider EMPTY。</w:t>
      </w:r>
    </w:p>
    <w:p>
      <w:pPr>
        <w:pStyle w:val="Heading1"/>
      </w:pPr>
      <w:r>
        <w:t>3. FLIGGY Evidence Profile</w:t>
      </w:r>
    </w:p>
    <w:p>
      <w:pPr>
        <w:pStyle w:val="ListBullet"/>
      </w:pPr>
      <w:r>
        <w:t>主要 Level-1 business Evidence 来自已验证 Rendered DOM / typed Fliggy evidence；不得把 hidden/internal network endpoint 升格为正式依赖。</w:t>
      </w:r>
    </w:p>
    <w:p>
      <w:pPr>
        <w:pStyle w:val="ListBullet"/>
      </w:pPr>
      <w:r>
        <w:t>Level-1 已观察字段包括 displayed/marketing flight identity、departure/arrival time、airport、duration、price、booking/select action、provenance/acquisition context。</w:t>
      </w:r>
    </w:p>
    <w:p>
      <w:pPr>
        <w:pStyle w:val="ListBullet"/>
      </w:pPr>
      <w:r>
        <w:t>已存在真实 codeshare 样本：displayed/marketing MF3554；“实际乘坐航班” MU5100。</w:t>
      </w:r>
    </w:p>
    <w:p>
      <w:pPr>
        <w:pStyle w:val="ListBullet"/>
      </w:pPr>
      <w:r>
        <w:t>已存在 lower-bound price 样本：¥791起；CA01 已将该语义收口为 LOWER_BOUND，并要求贯穿下游。</w:t>
      </w:r>
    </w:p>
    <w:p>
      <w:pPr>
        <w:pStyle w:val="ListBullet"/>
      </w:pPr>
      <w:r>
        <w:t>Level-2 可观察 seller、price、cabin、baggage、rules、availability，但不是 Level-1 Mapper 成立的统一前置条件。</w:t>
      </w:r>
    </w:p>
    <w:p>
      <w:pPr>
        <w:pStyle w:val="Heading1"/>
      </w:pPr>
      <w:r>
        <w:t>4. FLIGGY Segment Mapping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Mapped interpretation</w:t>
            </w:r>
          </w:p>
        </w:tc>
      </w:tr>
      <w:tr>
        <w:tc>
          <w:tcPr>
            <w:tcW w:type="dxa" w:w="4986"/>
          </w:tcPr>
          <w:p>
            <w:r>
              <w:t>Displayed flight / carrier</w:t>
            </w:r>
          </w:p>
        </w:tc>
        <w:tc>
          <w:tcPr>
            <w:tcW w:type="dxa" w:w="4986"/>
          </w:tcPr>
          <w:p>
            <w:r>
              <w:t>映射为 marketing/displayed identity；不得被 operating identity 覆盖。</w:t>
            </w:r>
          </w:p>
        </w:tc>
      </w:tr>
      <w:tr>
        <w:tc>
          <w:tcPr>
            <w:tcW w:type="dxa" w:w="4986"/>
          </w:tcPr>
          <w:p>
            <w:r>
              <w:t>“实际乘坐航班” evidence</w:t>
            </w:r>
          </w:p>
        </w:tc>
        <w:tc>
          <w:tcPr>
            <w:tcW w:type="dxa" w:w="4986"/>
          </w:tcPr>
          <w:p>
            <w:r>
              <w:t>仅在明确存在时映射 operating identity / codeshare relation。</w:t>
            </w:r>
          </w:p>
        </w:tc>
      </w:tr>
      <w:tr>
        <w:tc>
          <w:tcPr>
            <w:tcW w:type="dxa" w:w="4986"/>
          </w:tcPr>
          <w:p>
            <w:r>
              <w:t>Operating evidence absent</w:t>
            </w:r>
          </w:p>
        </w:tc>
        <w:tc>
          <w:tcPr>
            <w:tcW w:type="dxa" w:w="4986"/>
          </w:tcPr>
          <w:p>
            <w:r>
              <w:t>保持 missing；不得默认等于 marketing。</w:t>
            </w:r>
          </w:p>
        </w:tc>
      </w:tr>
      <w:tr>
        <w:tc>
          <w:tcPr>
            <w:tcW w:type="dxa" w:w="4986"/>
          </w:tcPr>
          <w:p>
            <w:r>
              <w:t>Departure/arrival time + airport</w:t>
            </w:r>
          </w:p>
        </w:tc>
        <w:tc>
          <w:tcPr>
            <w:tcW w:type="dxa" w:w="4986"/>
          </w:tcPr>
          <w:p>
            <w:r>
              <w:t>按现有 M4 mapped field/type 表达；不在 Mapper 做机场实体 canonicalization。</w:t>
            </w:r>
          </w:p>
        </w:tc>
      </w:tr>
      <w:tr>
        <w:tc>
          <w:tcPr>
            <w:tcW w:type="dxa" w:w="4986"/>
          </w:tcPr>
          <w:p>
            <w:r>
              <w:t>Terminal / aircraft / duration / stops</w:t>
            </w:r>
          </w:p>
        </w:tc>
        <w:tc>
          <w:tcPr>
            <w:tcW w:type="dxa" w:w="4986"/>
          </w:tcPr>
          <w:p>
            <w:r>
              <w:t>仅在 Evidence 明确支持时映射；optional missing 合法。</w:t>
            </w:r>
          </w:p>
        </w:tc>
      </w:tr>
      <w:tr>
        <w:tc>
          <w:tcPr>
            <w:tcW w:type="dxa" w:w="4986"/>
          </w:tcPr>
          <w:p>
            <w:r>
              <w:t>Provider row/source id</w:t>
            </w:r>
          </w:p>
        </w:tc>
        <w:tc>
          <w:tcPr>
            <w:tcW w:type="dxa" w:w="4986"/>
          </w:tcPr>
          <w:p>
            <w:r>
              <w:t>仅 source/provenance identity，不成为 Canonical identity。</w:t>
            </w:r>
          </w:p>
        </w:tc>
      </w:tr>
    </w:tbl>
    <w:p/>
    <w:p>
      <w:pPr>
        <w:pStyle w:val="Heading1"/>
      </w:pPr>
      <w:r>
        <w:t>5. FLIGGY Itinerary Mapping Rules</w:t>
      </w:r>
    </w:p>
    <w:p>
      <w:pPr>
        <w:pStyle w:val="ListBullet"/>
      </w:pPr>
      <w:r>
        <w:t>保持 Provider 表达的 Segment 顺序；Level-1 单航段自然形成单 Segment itinerary。</w:t>
      </w:r>
    </w:p>
    <w:p>
      <w:pPr>
        <w:pStyle w:val="ListBullet"/>
      </w:pPr>
      <w:r>
        <w:t>若未来 Evidence 出现多段结构，必须由 Provider Evidence 明确表达关系后才可组装；不得根据 O/D/time 自行推断连接。</w:t>
      </w:r>
    </w:p>
    <w:p>
      <w:pPr>
        <w:pStyle w:val="ListBullet"/>
      </w:pPr>
      <w:r>
        <w:t>required Segment 无法可靠 mapping 时 dependent itinerary 不得通过删除该 Segment 继续存在。</w:t>
      </w:r>
    </w:p>
    <w:p>
      <w:pPr>
        <w:pStyle w:val="Heading1"/>
      </w:pPr>
      <w:r>
        <w:t>6. FLIGGY Offer / Price Mapping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986"/>
          </w:tcPr>
          <w:p>
            <w:r>
              <w:t>Level-1 summary offer</w:t>
            </w:r>
          </w:p>
        </w:tc>
        <w:tc>
          <w:tcPr>
            <w:tcW w:type="dxa" w:w="4986"/>
          </w:tcPr>
          <w:p>
            <w:r>
              <w:t>允许形成 attached-to-itinerary 的 summary MappedOffer；seller/cabin/baggage/PurchaseAccess 可缺失。</w:t>
            </w:r>
          </w:p>
        </w:tc>
      </w:tr>
      <w:tr>
        <w:tc>
          <w:tcPr>
            <w:tcW w:type="dxa" w:w="4986"/>
          </w:tcPr>
          <w:p>
            <w:r>
              <w:t>¥791起 / 起价</w:t>
            </w:r>
          </w:p>
        </w:tc>
        <w:tc>
          <w:tcPr>
            <w:tcW w:type="dxa" w:w="4986"/>
          </w:tcPr>
          <w:p>
            <w:r>
              <w:t>amount=791；currency=CNY 仅在现有 Evidence/contract 已明确支持 CNY 时映射；price_semantics=LOWER_BOUND。</w:t>
            </w:r>
          </w:p>
        </w:tc>
      </w:tr>
      <w:tr>
        <w:tc>
          <w:tcPr>
            <w:tcW w:type="dxa" w:w="4986"/>
          </w:tcPr>
          <w:p>
            <w:r>
              <w:t>LOWER_BOUND</w:t>
            </w:r>
          </w:p>
        </w:tc>
        <w:tc>
          <w:tcPr>
            <w:tcW w:type="dxa" w:w="4986"/>
          </w:tcPr>
          <w:p>
            <w:r>
              <w:t>不得升级 EXACT；不得因 booking/select action 存在就推断 exact purchasable price。</w:t>
            </w:r>
          </w:p>
        </w:tc>
      </w:tr>
      <w:tr>
        <w:tc>
          <w:tcPr>
            <w:tcW w:type="dxa" w:w="4986"/>
          </w:tcPr>
          <w:p>
            <w:r>
              <w:t>Level-2 enrichment</w:t>
            </w:r>
          </w:p>
        </w:tc>
        <w:tc>
          <w:tcPr>
            <w:tcW w:type="dxa" w:w="4986"/>
          </w:tcPr>
          <w:p>
            <w:r>
              <w:t>视为新的 observation/evidence；不得无 provenance 地静默 mutation Level-1 offer。</w:t>
            </w:r>
          </w:p>
        </w:tc>
      </w:tr>
      <w:tr>
        <w:tc>
          <w:tcPr>
            <w:tcW w:type="dxa" w:w="4986"/>
          </w:tcPr>
          <w:p>
            <w:r>
              <w:t>Offer identity</w:t>
            </w:r>
          </w:p>
        </w:tc>
        <w:tc>
          <w:tcPr>
            <w:tcW w:type="dxa" w:w="4986"/>
          </w:tcPr>
          <w:p>
            <w:r>
              <w:t>价格不定义 Offer identity；Provider-local product/source identity 仅作为 source graph evidence。</w:t>
            </w:r>
          </w:p>
        </w:tc>
      </w:tr>
    </w:tbl>
    <w:p/>
    <w:p>
      <w:pPr>
        <w:pStyle w:val="Heading1"/>
      </w:pPr>
      <w:r>
        <w:t>7. Provenance / Failure / Scope</w:t>
      </w:r>
    </w:p>
    <w:p>
      <w:pPr>
        <w:pStyle w:val="ListBullet"/>
      </w:pPr>
      <w:r>
        <w:t>保留 provider、acquisition mode/context、acquired/observed timestamp（按现有真实字段）、source evidence/raw reference 与 mapper_version。</w:t>
      </w:r>
    </w:p>
    <w:p>
      <w:pPr>
        <w:pStyle w:val="ListBullet"/>
      </w:pPr>
      <w:r>
        <w:t>NETWORK_ERROR / ACCESS_CHALLENGE / TIMEOUT 等 acquisition failure 不产生新 mapped business facts，也不刷新旧 Evidence。</w:t>
      </w:r>
    </w:p>
    <w:p>
      <w:pPr>
        <w:pStyle w:val="ListBullet"/>
      </w:pPr>
      <w:r>
        <w:t>COMPLETE_OBSERVED 仅描述 observed execution 边界，不解释为 market completeness。</w:t>
      </w:r>
    </w:p>
    <w:p>
      <w:pPr>
        <w:pStyle w:val="ListBullet"/>
      </w:pPr>
      <w:r>
        <w:t>本 Unit 不点击购买、不实现 PurchaseAccess、不生成 PurchaseGuidance、不新增 live crawling behavior。</w:t>
      </w:r>
    </w:p>
    <w:p>
      <w:pPr>
        <w:pStyle w:val="Heading1"/>
      </w:pPr>
      <w:r>
        <w:t>8. Required Tests / Exit Gate</w:t>
      </w:r>
    </w:p>
    <w:p>
      <w:pPr>
        <w:pStyle w:val="ListBullet"/>
      </w:pPr>
      <w:r>
        <w:t>Focused mapper tests：正常单航段、optional missing、结构关键 missing、partial record、provenance、mapper_version。</w:t>
      </w:r>
    </w:p>
    <w:p>
      <w:pPr>
        <w:pStyle w:val="ListBullet"/>
      </w:pPr>
      <w:r>
        <w:t>Shared contract tests：Raw/Mapped boundary、MissingValue、graph integrity、identity separation、price semantics、no Provider-specific interpretation downstream。</w:t>
      </w:r>
    </w:p>
    <w:p>
      <w:pPr>
        <w:pStyle w:val="ListBullet"/>
      </w:pPr>
      <w:r>
        <w:t>Architecture negative tests：Mapper 不依赖 CandidateMerger / SnapshotAssembler / Ranking / Recommendation / Workflow；Application/Decision 不绕过 Normalizer 消费 Raw/Mapped。</w:t>
      </w:r>
    </w:p>
    <w:p>
      <w:pPr>
        <w:pStyle w:val="ListBullet"/>
      </w:pPr>
      <w:r>
        <w:t>Regression：保持当前 shared architecture/contract baseline 与 backend gates；优先调用 Repository 已存在统一命令。</w:t>
      </w:r>
    </w:p>
    <w:p>
      <w:pPr>
        <w:pStyle w:val="ListBullet"/>
      </w:pPr>
      <w:r>
        <w:t>Live external provider probe 不作为普通 CI 前置；本 Unit 应使用已批准 sanitized/offline Evidence fixtures 验证 mapping determinism。</w:t>
      </w:r>
    </w:p>
    <w:p>
      <w:pPr>
        <w:pStyle w:val="Heading1"/>
      </w:pPr>
      <w:r>
        <w:t>9. STOP / Contract Amendment</w:t>
      </w:r>
    </w:p>
    <w:p>
      <w:r>
        <w:t>若真实 Evidence 无法在现有 Shared Contract 下诚实表达，固定执行：</w:t>
      </w:r>
    </w:p>
    <w:p>
      <w:pPr>
        <w:jc w:val="center"/>
      </w:pPr>
      <w:r>
        <w:rPr>
          <w:b/>
        </w:rPr>
        <w:t>STOP → Evidence → Impact → Options → Recommended Contract Amendment → Human Decision → Tests / Docs Update → Resume</w:t>
      </w:r>
    </w:p>
    <w:p>
      <w:pPr>
        <w:pStyle w:val="ListBullet"/>
      </w:pPr>
      <w:r>
        <w:t>不得为了通过测试修改稳定 Domain semantic、Shared Mapping Contract、M4 mapped types、M6 price/filter semantics、M7 freshness、M8 authority 或 Public API。</w:t>
      </w:r>
    </w:p>
    <w:p>
      <w:pPr>
        <w:pStyle w:val="ListBullet"/>
      </w:pPr>
      <w:r>
        <w:t>不得弱化 Golden Expected Output、architecture gate 或删除失败测试。</w:t>
      </w:r>
    </w:p>
    <w:p>
      <w:pPr>
        <w:pStyle w:val="Heading1"/>
      </w:pPr>
      <w:r>
        <w:t>10. Exit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PASS 条件</w:t>
            </w:r>
          </w:p>
        </w:tc>
      </w:tr>
      <w:tr>
        <w:tc>
          <w:tcPr>
            <w:tcW w:type="dxa" w:w="4986"/>
          </w:tcPr>
          <w:p>
            <w:r>
              <w:t>Authority</w:t>
            </w:r>
          </w:p>
        </w:tc>
        <w:tc>
          <w:tcPr>
            <w:tcW w:type="dxa" w:w="4986"/>
          </w:tcPr>
          <w:p>
            <w:r>
              <w:t>本 Provider Unit Specification 已被 DOCUMENT_AUTHORITY 接纳。</w:t>
            </w:r>
          </w:p>
        </w:tc>
      </w:tr>
      <w:tr>
        <w:tc>
          <w:tcPr>
            <w:tcW w:type="dxa" w:w="4986"/>
          </w:tcPr>
          <w:p>
            <w:r>
              <w:t>Mapper</w:t>
            </w:r>
          </w:p>
        </w:tc>
        <w:tc>
          <w:tcPr>
            <w:tcW w:type="dxa" w:w="4986"/>
          </w:tcPr>
          <w:p>
            <w:r>
              <w:t>Provider Evidence 可确定性转换为合法 mapped graph；不越过 Normalizer。</w:t>
            </w:r>
          </w:p>
        </w:tc>
      </w:tr>
      <w:tr>
        <w:tc>
          <w:tcPr>
            <w:tcW w:type="dxa" w:w="4986"/>
          </w:tcPr>
          <w:p>
            <w:r>
              <w:t>Safety</w:t>
            </w:r>
          </w:p>
        </w:tc>
        <w:tc>
          <w:tcPr>
            <w:tcW w:type="dxa" w:w="4986"/>
          </w:tcPr>
          <w:p>
            <w:r>
              <w:t>无猜测补值；无 raw bypass；无 shared semantic change。</w:t>
            </w:r>
          </w:p>
        </w:tc>
      </w:tr>
      <w:tr>
        <w:tc>
          <w:tcPr>
            <w:tcW w:type="dxa" w:w="4986"/>
          </w:tcPr>
          <w:p>
            <w:r>
              <w:t>Tests</w:t>
            </w:r>
          </w:p>
        </w:tc>
        <w:tc>
          <w:tcPr>
            <w:tcW w:type="dxa" w:w="4986"/>
          </w:tcPr>
          <w:p>
            <w:r>
              <w:t>focused + shared contract + architecture + regression 全部 PASS。</w:t>
            </w:r>
          </w:p>
        </w:tc>
      </w:tr>
      <w:tr>
        <w:tc>
          <w:tcPr>
            <w:tcW w:type="dxa" w:w="4986"/>
          </w:tcPr>
          <w:p>
            <w:r>
              <w:t>Git</w:t>
            </w:r>
          </w:p>
        </w:tc>
        <w:tc>
          <w:tcPr>
            <w:tcW w:type="dxa" w:w="4986"/>
          </w:tcPr>
          <w:p>
            <w:r>
              <w:t>Unit commit/push/remote verification/clean tree 完成。</w:t>
            </w:r>
          </w:p>
        </w:tc>
      </w:tr>
      <w:tr>
        <w:tc>
          <w:tcPr>
            <w:tcW w:type="dxa" w:w="4986"/>
          </w:tcPr>
          <w:p>
            <w:r>
              <w:t>Next</w:t>
            </w:r>
          </w:p>
        </w:tc>
        <w:tc>
          <w:tcPr>
            <w:tcW w:type="dxa" w:w="4986"/>
          </w:tcPr>
          <w:p>
            <w:r>
              <w:t>仅达到 Provider Mapper implemented/verified；后续 Canonical Entry / integration 仍按 M9 Authority 单独推进。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机票筛选 Agent · FLIGGY Evidence→Mapped Mapper Unit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