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M9-FLIGGY-AIRPORT-ALIAS-REPAIR-U1</w:t>
      </w:r>
    </w:p>
    <w:p>
      <w:pPr>
        <w:jc w:val="center"/>
      </w:pPr>
      <w:r>
        <w:rPr>
          <w:sz w:val="20"/>
        </w:rPr>
        <w:t>Provider-Local Airport Label Normalization and Human Acceptance Replay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Field</w:t>
            </w:r>
          </w:p>
        </w:tc>
        <w:tc>
          <w:tcPr>
            <w:tcW w:type="dxa" w:w="5184"/>
            <w:vAlign w:val="center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M9-FLIGGY-AIRPORT-ALIAS-REPAIR-U1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Repair + Regression + Human Evidence Replay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Human Acceptance CA8341 case + Repair Audit U1 PASS</w:t>
            </w:r>
          </w:p>
        </w:tc>
      </w:tr>
      <w:tr>
        <w:tc>
          <w:tcPr>
            <w:tcW w:type="dxa" w:w="5184"/>
          </w:tcPr>
          <w:p>
            <w:r>
              <w:t>Repair ownership</w:t>
            </w:r>
          </w:p>
        </w:tc>
        <w:tc>
          <w:tcPr>
            <w:tcW w:type="dxa" w:w="5184"/>
          </w:tcPr>
          <w:p>
            <w:r>
              <w:t>FLIGGY provider-local canonical-entry airport alias/profile</w:t>
            </w:r>
          </w:p>
        </w:tc>
      </w:tr>
      <w:tr>
        <w:tc>
          <w:tcPr>
            <w:tcW w:type="dxa" w:w="5184"/>
          </w:tcPr>
          <w:p>
            <w:r>
              <w:t>Shared 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  <w:tr>
        <w:tc>
          <w:tcPr>
            <w:tcW w:type="dxa" w:w="5184"/>
          </w:tcPr>
          <w:p>
            <w:r>
              <w:t>Main integration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Live automation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</w:tbl>
    <w:p>
      <w:pPr>
        <w:pStyle w:val="Heading1"/>
      </w:pPr>
      <w:r>
        <w:t>2. Authority and Proven Root Cause</w:t>
      </w:r>
    </w:p>
    <w:p>
      <w:r>
        <w:t>本 Unit 以已经完成的 Human Acceptance 与 Read-Only Repair Audit 为直接依据。Audit 已证明真实飞猪页面使用完整机场标签 `大兴国际机场` / `浦东国际机场T2`，而现有 FLIGGY canonical entry 仅执行有限规范化并查询 provider-local aliases；已有 `大兴 -&gt; PKX`、`浦东 -&gt; PVG`，但缺少完整真实标签，因此标签原样进入 CommonNormalizer 并被 deterministic airport reference data 拒绝。</w:t>
      </w:r>
    </w:p>
    <w:p>
      <w:r>
        <w:t>分类已确定为 `PROVIDER_LOCAL_ALIAS_GAP`。Shared CommonNormalizer、M4 Candidate Merger、Shared Canonical Contract 与 PriceSemantics 不需要修改。</w:t>
      </w:r>
    </w:p>
    <w:p>
      <w:pPr>
        <w:pStyle w:val="Heading1"/>
      </w:pPr>
      <w:r>
        <w:t>3. Goal</w:t>
      </w:r>
    </w:p>
    <w:p>
      <w:pPr>
        <w:pStyle w:val="ListBullet"/>
      </w:pPr>
      <w:r>
        <w:t>以最小 provider-local change 让真实 FLIGGY airport labels 能稳定解析到现有 canonical airport codes。</w:t>
      </w:r>
    </w:p>
    <w:p>
      <w:pPr>
        <w:pStyle w:val="ListBullet"/>
      </w:pPr>
      <w:r>
        <w:t>至少覆盖 `大兴国际机场 -&gt; PKX` 与 `浦东国际机场T2 -&gt; PVG` 的真实 Human Acceptance regression。</w:t>
      </w:r>
    </w:p>
    <w:p>
      <w:pPr>
        <w:pStyle w:val="ListBullet"/>
      </w:pPr>
      <w:r>
        <w:t>保持既有短标签兼容，例如 `大兴`、`浦东` 以及当前测试已接受的机场文本。</w:t>
      </w:r>
    </w:p>
    <w:p>
      <w:pPr>
        <w:pStyle w:val="ListBullet"/>
      </w:pPr>
      <w:r>
        <w:t>修复后重放 CA8341 人工证据，证明 Segment → Itinerary → Offer 不再因机场 reference 失败而级联丢弃。</w:t>
      </w:r>
    </w:p>
    <w:p>
      <w:pPr>
        <w:pStyle w:val="ListBullet"/>
      </w:pPr>
      <w:r>
        <w:t>验证 L1 `399 CNY LOWER_BOUND` 与 L2 `400/399/647 CNY EXACT` 进入现有 Canonical/Merger 后仍遵守保守合并语义。</w:t>
      </w:r>
    </w:p>
    <w:p>
      <w:pPr>
        <w:pStyle w:val="Heading1"/>
      </w:pPr>
      <w:r>
        <w:t>4. Allowed Scope</w:t>
      </w:r>
    </w:p>
    <w:p>
      <w:pPr>
        <w:pStyle w:val="ListBullet"/>
      </w:pPr>
      <w:r>
        <w:t>`apps/backend/src/flight_agent/adapters/flight_providers/fliggy/canonical_entry.py` 中与 FLIGGY airport label alias/profile/normalization 直接相关的最小修复。</w:t>
      </w:r>
    </w:p>
    <w:p>
      <w:pPr>
        <w:pStyle w:val="ListBullet"/>
      </w:pPr>
      <w:r>
        <w:t>`tests/backend/unit/test_m9_fliggy_canonical_entry.py` 中新增真实完整机场标签 regression。</w:t>
      </w:r>
    </w:p>
    <w:p>
      <w:pPr>
        <w:pStyle w:val="ListBullet"/>
      </w:pPr>
      <w:r>
        <w:t>如现有测试组织明确要求，可在现有 FLIGGY provider-local test 文件中加入最小 CA8341 replay test；不得新建 production path。</w:t>
      </w:r>
    </w:p>
    <w:p>
      <w:pPr>
        <w:pStyle w:val="ListBullet"/>
      </w:pPr>
      <w:r>
        <w:t>必要的 FLIGGY provider-local export/wiring 仅在现有实现确实需要时允许；默认不应需要。</w:t>
      </w:r>
    </w:p>
    <w:p>
      <w:pPr>
        <w:pStyle w:val="Heading1"/>
      </w:pPr>
      <w:r>
        <w:t>5. Forbidden Scope</w:t>
      </w:r>
    </w:p>
    <w:p>
      <w:pPr>
        <w:pStyle w:val="ListBullet"/>
      </w:pPr>
      <w:r>
        <w:t>不得修改 CommonNormalizer / candidate_normalization shared semantics。</w:t>
      </w:r>
    </w:p>
    <w:p>
      <w:pPr>
        <w:pStyle w:val="ListBullet"/>
      </w:pPr>
      <w:r>
        <w:t>不得修改 M2/M4/M6/M7/M8 shared contracts、DomainValue、PriceSemantics vocabulary 或 canonical data model。</w:t>
      </w:r>
    </w:p>
    <w:p>
      <w:pPr>
        <w:pStyle w:val="ListBullet"/>
      </w:pPr>
      <w:r>
        <w:t>不得修改 FLIGGY L1/L2 price mapping 规则。</w:t>
      </w:r>
    </w:p>
    <w:p>
      <w:pPr>
        <w:pStyle w:val="ListBullet"/>
      </w:pPr>
      <w:r>
        <w:t>不得修改 Candidate Merger equivalence logic。</w:t>
      </w:r>
    </w:p>
    <w:p>
      <w:pPr>
        <w:pStyle w:val="ListBullet"/>
      </w:pPr>
      <w:r>
        <w:t>不得新增 Level-2 Canonical、provider-local merger、CandidateSnapshot、ranking、purchase guidance。</w:t>
      </w:r>
    </w:p>
    <w:p>
      <w:pPr>
        <w:pStyle w:val="ListBullet"/>
      </w:pPr>
      <w:r>
        <w:t>不得修改 CTRIP 或其他 provider。</w:t>
      </w:r>
    </w:p>
    <w:p>
      <w:pPr>
        <w:pStyle w:val="ListBullet"/>
      </w:pPr>
      <w:r>
        <w:t>不得运行新的 FLIGGY live probe，不得抓 Cookie/Auth/session/HAR/full DOM。</w:t>
      </w:r>
    </w:p>
    <w:p>
      <w:pPr>
        <w:pStyle w:val="ListBullet"/>
      </w:pPr>
      <w:r>
        <w:t>不得建立 CLI/harness。</w:t>
      </w:r>
    </w:p>
    <w:p>
      <w:pPr>
        <w:pStyle w:val="ListBullet"/>
      </w:pPr>
      <w:r>
        <w:t>不得 main merge，不得宣称 M9 overall closure 或 production readiness。</w:t>
      </w:r>
    </w:p>
    <w:p>
      <w:pPr>
        <w:pStyle w:val="Heading1"/>
      </w:pPr>
      <w:r>
        <w:t>6. Repair Design Constraints</w:t>
      </w:r>
    </w:p>
    <w:p>
      <w:pPr>
        <w:pStyle w:val="ListBullet"/>
      </w:pPr>
      <w:r>
        <w:t>优先复用现有 provider-local alias/profile 机制；若补 alias 即足够，不引入新的 generic normalization framework。</w:t>
      </w:r>
    </w:p>
    <w:p>
      <w:pPr>
        <w:pStyle w:val="ListBullet"/>
      </w:pPr>
      <w:r>
        <w:t>Terminal suffix 处理必须保守。只处理已由真实 evidence/既有 convention 支持的形式；不得用宽泛字符串删除导致机场误匹配。</w:t>
      </w:r>
    </w:p>
    <w:p>
      <w:pPr>
        <w:pStyle w:val="ListBullet"/>
      </w:pPr>
      <w:r>
        <w:t>不得仅靠模糊包含关系把任意中文机场名称映射到 code。</w:t>
      </w:r>
    </w:p>
    <w:p>
      <w:pPr>
        <w:pStyle w:val="ListBullet"/>
      </w:pPr>
      <w:r>
        <w:t>修复必须 deterministic、provider-local、可测试。</w:t>
      </w:r>
    </w:p>
    <w:p>
      <w:pPr>
        <w:pStyle w:val="ListBullet"/>
      </w:pPr>
      <w:r>
        <w:t>未知机场标签仍应按现有失败/unknown policy 处理，不得静默猜测。</w:t>
      </w:r>
    </w:p>
    <w:p>
      <w:pPr>
        <w:pStyle w:val="Heading1"/>
      </w:pPr>
      <w:r>
        <w:t>7. Mandatory Regression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t>ID</w:t>
            </w:r>
          </w:p>
        </w:tc>
        <w:tc>
          <w:tcPr>
            <w:tcW w:type="dxa" w:w="3456"/>
            <w:vAlign w:val="center"/>
          </w:tcPr>
          <w:p>
            <w:r>
              <w:t>Input / Scenario</w:t>
            </w:r>
          </w:p>
        </w:tc>
        <w:tc>
          <w:tcPr>
            <w:tcW w:type="dxa" w:w="3456"/>
            <w:vAlign w:val="center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AR-01</w:t>
            </w:r>
          </w:p>
        </w:tc>
        <w:tc>
          <w:tcPr>
            <w:tcW w:type="dxa" w:w="3456"/>
          </w:tcPr>
          <w:p>
            <w:r>
              <w:t>大兴国际机场</w:t>
            </w:r>
          </w:p>
        </w:tc>
        <w:tc>
          <w:tcPr>
            <w:tcW w:type="dxa" w:w="3456"/>
          </w:tcPr>
          <w:p>
            <w:r>
              <w:t>PKX</w:t>
            </w:r>
          </w:p>
        </w:tc>
      </w:tr>
      <w:tr>
        <w:tc>
          <w:tcPr>
            <w:tcW w:type="dxa" w:w="3456"/>
          </w:tcPr>
          <w:p>
            <w:r>
              <w:t>AR-02</w:t>
            </w:r>
          </w:p>
        </w:tc>
        <w:tc>
          <w:tcPr>
            <w:tcW w:type="dxa" w:w="3456"/>
          </w:tcPr>
          <w:p>
            <w:r>
              <w:t>浦东国际机场T2</w:t>
            </w:r>
          </w:p>
        </w:tc>
        <w:tc>
          <w:tcPr>
            <w:tcW w:type="dxa" w:w="3456"/>
          </w:tcPr>
          <w:p>
            <w:r>
              <w:t>PVG</w:t>
            </w:r>
          </w:p>
        </w:tc>
      </w:tr>
      <w:tr>
        <w:tc>
          <w:tcPr>
            <w:tcW w:type="dxa" w:w="3456"/>
          </w:tcPr>
          <w:p>
            <w:r>
              <w:t>AR-03</w:t>
            </w:r>
          </w:p>
        </w:tc>
        <w:tc>
          <w:tcPr>
            <w:tcW w:type="dxa" w:w="3456"/>
          </w:tcPr>
          <w:p>
            <w:r>
              <w:t>existing short label: 大兴</w:t>
            </w:r>
          </w:p>
        </w:tc>
        <w:tc>
          <w:tcPr>
            <w:tcW w:type="dxa" w:w="3456"/>
          </w:tcPr>
          <w:p>
            <w:r>
              <w:t>PKX; no regression</w:t>
            </w:r>
          </w:p>
        </w:tc>
      </w:tr>
      <w:tr>
        <w:tc>
          <w:tcPr>
            <w:tcW w:type="dxa" w:w="3456"/>
          </w:tcPr>
          <w:p>
            <w:r>
              <w:t>AR-04</w:t>
            </w:r>
          </w:p>
        </w:tc>
        <w:tc>
          <w:tcPr>
            <w:tcW w:type="dxa" w:w="3456"/>
          </w:tcPr>
          <w:p>
            <w:r>
              <w:t>existing short label: 浦东</w:t>
            </w:r>
          </w:p>
        </w:tc>
        <w:tc>
          <w:tcPr>
            <w:tcW w:type="dxa" w:w="3456"/>
          </w:tcPr>
          <w:p>
            <w:r>
              <w:t>PVG; no regression</w:t>
            </w:r>
          </w:p>
        </w:tc>
      </w:tr>
      <w:tr>
        <w:tc>
          <w:tcPr>
            <w:tcW w:type="dxa" w:w="3456"/>
          </w:tcPr>
          <w:p>
            <w:r>
              <w:t>AR-05</w:t>
            </w:r>
          </w:p>
        </w:tc>
        <w:tc>
          <w:tcPr>
            <w:tcW w:type="dxa" w:w="3456"/>
          </w:tcPr>
          <w:p>
            <w:r>
              <w:t>unknown/unrelated airport label</w:t>
            </w:r>
          </w:p>
        </w:tc>
        <w:tc>
          <w:tcPr>
            <w:tcW w:type="dxa" w:w="3456"/>
          </w:tcPr>
          <w:p>
            <w:r>
              <w:t>must not be guessed into PKX/PVG</w:t>
            </w:r>
          </w:p>
        </w:tc>
      </w:tr>
      <w:tr>
        <w:tc>
          <w:tcPr>
            <w:tcW w:type="dxa" w:w="3456"/>
          </w:tcPr>
          <w:p>
            <w:r>
              <w:t>AR-06</w:t>
            </w:r>
          </w:p>
        </w:tc>
        <w:tc>
          <w:tcPr>
            <w:tcW w:type="dxa" w:w="3456"/>
          </w:tcPr>
          <w:p>
            <w:r>
              <w:t>CA8341 Human Case canonical replay</w:t>
            </w:r>
          </w:p>
        </w:tc>
        <w:tc>
          <w:tcPr>
            <w:tcW w:type="dxa" w:w="3456"/>
          </w:tcPr>
          <w:p>
            <w:r>
              <w:t>segment/itinerary/offers survive canonicalization</w:t>
            </w:r>
          </w:p>
        </w:tc>
      </w:tr>
      <w:tr>
        <w:tc>
          <w:tcPr>
            <w:tcW w:type="dxa" w:w="3456"/>
          </w:tcPr>
          <w:p>
            <w:r>
              <w:t>AR-07</w:t>
            </w:r>
          </w:p>
        </w:tc>
        <w:tc>
          <w:tcPr>
            <w:tcW w:type="dxa" w:w="3456"/>
          </w:tcPr>
          <w:p>
            <w:r>
              <w:t>L1 399 LOWER_BOUND vs L2 399 EXACT</w:t>
            </w:r>
          </w:p>
        </w:tc>
        <w:tc>
          <w:tcPr>
            <w:tcW w:type="dxa" w:w="3456"/>
          </w:tcPr>
          <w:p>
            <w:r>
              <w:t>DISTINCT</w:t>
            </w:r>
          </w:p>
        </w:tc>
      </w:tr>
      <w:tr>
        <w:tc>
          <w:tcPr>
            <w:tcW w:type="dxa" w:w="3456"/>
          </w:tcPr>
          <w:p>
            <w:r>
              <w:t>AR-08</w:t>
            </w:r>
          </w:p>
        </w:tc>
        <w:tc>
          <w:tcPr>
            <w:tcW w:type="dxa" w:w="3456"/>
          </w:tcPr>
          <w:p>
            <w:r>
              <w:t>L2 400 vs 399 vs 647</w:t>
            </w:r>
          </w:p>
        </w:tc>
        <w:tc>
          <w:tcPr>
            <w:tcW w:type="dxa" w:w="3456"/>
          </w:tcPr>
          <w:p>
            <w:r>
              <w:t>pairwise DISTINCT by price</w:t>
            </w:r>
          </w:p>
        </w:tc>
      </w:tr>
      <w:tr>
        <w:tc>
          <w:tcPr>
            <w:tcW w:type="dxa" w:w="3456"/>
          </w:tcPr>
          <w:p>
            <w:r>
              <w:t>AR-09</w:t>
            </w:r>
          </w:p>
        </w:tc>
        <w:tc>
          <w:tcPr>
            <w:tcW w:type="dxa" w:w="3456"/>
          </w:tcPr>
          <w:p>
            <w:r>
              <w:t>same-price different-source hypothetical/current contract regression</w:t>
            </w:r>
          </w:p>
        </w:tc>
        <w:tc>
          <w:tcPr>
            <w:tcW w:type="dxa" w:w="3456"/>
          </w:tcPr>
          <w:p>
            <w:r>
              <w:t>INSUFFICIENT_EVIDENCE unless positive identity proof</w:t>
            </w:r>
          </w:p>
        </w:tc>
      </w:tr>
    </w:tbl>
    <w:p>
      <w:pPr>
        <w:pStyle w:val="Heading1"/>
      </w:pPr>
      <w:r>
        <w:t>8. CA8341 Replay Baseline</w:t>
      </w:r>
    </w:p>
    <w:p>
      <w:r>
        <w:t>重放使用已由人类提供并完成 sanitization 的本地 evidence；不得重新自动访问飞猪。核心事实如下：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Layer</w:t>
            </w:r>
          </w:p>
        </w:tc>
        <w:tc>
          <w:tcPr>
            <w:tcW w:type="dxa" w:w="5184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5184"/>
          </w:tcPr>
          <w:p>
            <w:r>
              <w:t>L1</w:t>
            </w:r>
          </w:p>
        </w:tc>
        <w:tc>
          <w:tcPr>
            <w:tcW w:type="dxa" w:w="5184"/>
          </w:tcPr>
          <w:p>
            <w:r>
              <w:t>CA8341; 大兴国际机场 → 浦东国际机场T2; 22:00 → 23:45; `最低价格（不含税费） ¥399`</w:t>
            </w:r>
          </w:p>
        </w:tc>
      </w:tr>
      <w:tr>
        <w:tc>
          <w:tcPr>
            <w:tcW w:type="dxa" w:w="5184"/>
          </w:tcPr>
          <w:p>
            <w:r>
              <w:t>L1 semantics</w:t>
            </w:r>
          </w:p>
        </w:tc>
        <w:tc>
          <w:tcPr>
            <w:tcW w:type="dxa" w:w="5184"/>
          </w:tcPr>
          <w:p>
            <w:r>
              <w:t>399 CNY / LOWER_BOUND; `不含税费` remains evidence-only qualifier</w:t>
            </w:r>
          </w:p>
        </w:tc>
      </w:tr>
      <w:tr>
        <w:tc>
          <w:tcPr>
            <w:tcW w:type="dxa" w:w="5184"/>
          </w:tcPr>
          <w:p>
            <w:r>
              <w:t>L2 row 01</w:t>
            </w:r>
          </w:p>
        </w:tc>
        <w:tc>
          <w:tcPr>
            <w:tcW w:type="dxa" w:w="5184"/>
          </w:tcPr>
          <w:p>
            <w:r>
              <w:t>航司直营; ¥400; 经济舱; 托运行李20公斤; 退改规则详情</w:t>
            </w:r>
          </w:p>
        </w:tc>
      </w:tr>
      <w:tr>
        <w:tc>
          <w:tcPr>
            <w:tcW w:type="dxa" w:w="5184"/>
          </w:tcPr>
          <w:p>
            <w:r>
              <w:t>L2 row 02</w:t>
            </w:r>
          </w:p>
        </w:tc>
        <w:tc>
          <w:tcPr>
            <w:tcW w:type="dxa" w:w="5184"/>
          </w:tcPr>
          <w:p>
            <w:r>
              <w:t>阿斯兰翱翔航服; ¥399; 经济舱; 托运行李20公斤; 退改规则详情</w:t>
            </w:r>
          </w:p>
        </w:tc>
      </w:tr>
      <w:tr>
        <w:tc>
          <w:tcPr>
            <w:tcW w:type="dxa" w:w="5184"/>
          </w:tcPr>
          <w:p>
            <w:r>
              <w:t>L2 row 03</w:t>
            </w:r>
          </w:p>
        </w:tc>
        <w:tc>
          <w:tcPr>
            <w:tcW w:type="dxa" w:w="5184"/>
          </w:tcPr>
          <w:p>
            <w:r>
              <w:t>阿斯兰翱翔航服; ¥647; 经济舱; 托运行李20公斤; 退改规则详情</w:t>
            </w:r>
          </w:p>
        </w:tc>
      </w:tr>
    </w:tbl>
    <w:p>
      <w:pPr>
        <w:pStyle w:val="Heading1"/>
      </w:pPr>
      <w:r>
        <w:t>9. Acceptance Gates</w:t>
      </w:r>
    </w:p>
    <w:p>
      <w:pPr>
        <w:pStyle w:val="Heading2"/>
      </w:pPr>
      <w:r>
        <w:t>FLI-AR-01 — Root-cause fidelity</w:t>
      </w:r>
    </w:p>
    <w:p>
      <w:r>
        <w:t>Repair targets only the audited FLIGGY provider-local airport alias gap.</w:t>
      </w:r>
    </w:p>
    <w:p>
      <w:pPr>
        <w:pStyle w:val="Heading2"/>
      </w:pPr>
      <w:r>
        <w:t>FLI-AR-02 — Full-label resolution</w:t>
      </w:r>
    </w:p>
    <w:p>
      <w:r>
        <w:t>`大兴国际机场` and `浦东国际机场T2` resolve deterministically.</w:t>
      </w:r>
    </w:p>
    <w:p>
      <w:pPr>
        <w:pStyle w:val="Heading2"/>
      </w:pPr>
      <w:r>
        <w:t>FLI-AR-03 — Backward compatibility</w:t>
      </w:r>
    </w:p>
    <w:p>
      <w:r>
        <w:t>Existing accepted short airport labels remain green.</w:t>
      </w:r>
    </w:p>
    <w:p>
      <w:pPr>
        <w:pStyle w:val="Heading2"/>
      </w:pPr>
      <w:r>
        <w:t>FLI-AR-04 — No overmatching</w:t>
      </w:r>
    </w:p>
    <w:p>
      <w:r>
        <w:t>Unknown labels are not guessed into known airports.</w:t>
      </w:r>
    </w:p>
    <w:p>
      <w:pPr>
        <w:pStyle w:val="Heading2"/>
      </w:pPr>
      <w:r>
        <w:t>FLI-AR-05 — Shared boundary</w:t>
      </w:r>
    </w:p>
    <w:p>
      <w:r>
        <w:t>CommonNormalizer/shared contracts unchanged.</w:t>
      </w:r>
    </w:p>
    <w:p>
      <w:pPr>
        <w:pStyle w:val="Heading2"/>
      </w:pPr>
      <w:r>
        <w:t>FLI-AR-06 — Price boundary</w:t>
      </w:r>
    </w:p>
    <w:p>
      <w:r>
        <w:t>L1 remains LOWER_BOUND; L2 explicit row prices remain EXACT.</w:t>
      </w:r>
    </w:p>
    <w:p>
      <w:pPr>
        <w:pStyle w:val="Heading2"/>
      </w:pPr>
      <w:r>
        <w:t>FLI-AR-07 — Commercial boundary</w:t>
      </w:r>
    </w:p>
    <w:p>
      <w:r>
        <w:t>seller/product/refund/baggage/composition qualifiers are not upgraded without authority.</w:t>
      </w:r>
    </w:p>
    <w:p>
      <w:pPr>
        <w:pStyle w:val="Heading2"/>
      </w:pPr>
      <w:r>
        <w:t>FLI-AR-08 — Canonical survival</w:t>
      </w:r>
    </w:p>
    <w:p>
      <w:r>
        <w:t>CA8341 segment/itinerary/offers survive canonicalization after repair.</w:t>
      </w:r>
    </w:p>
    <w:p>
      <w:pPr>
        <w:pStyle w:val="Heading2"/>
      </w:pPr>
      <w:r>
        <w:t>FLI-AR-09 — Merger safety</w:t>
      </w:r>
    </w:p>
    <w:p>
      <w:r>
        <w:t>399 LOWER_BOUND vs 399 EXACT is DISTINCT; 400/399/647 exact rows remain distinct.</w:t>
      </w:r>
    </w:p>
    <w:p>
      <w:pPr>
        <w:pStyle w:val="Heading2"/>
      </w:pPr>
      <w:r>
        <w:t>FLI-AR-10 — Provenance</w:t>
      </w:r>
    </w:p>
    <w:p>
      <w:r>
        <w:t>L1/L2 source/row/parent provenance remains intact.</w:t>
      </w:r>
    </w:p>
    <w:p>
      <w:pPr>
        <w:pStyle w:val="Heading2"/>
      </w:pPr>
      <w:r>
        <w:t>FLI-AR-11 — Regression</w:t>
      </w:r>
    </w:p>
    <w:p>
      <w:r>
        <w:t>Focused + related architecture/regression tests pass; Ruff/Pyright pass for changed scope.</w:t>
      </w:r>
    </w:p>
    <w:p>
      <w:pPr>
        <w:pStyle w:val="Heading2"/>
      </w:pPr>
      <w:r>
        <w:t>FLI-AR-12 — Claim boundary</w:t>
      </w:r>
    </w:p>
    <w:p>
      <w:r>
        <w:t>No automated-live, complete-market, production, main-integration or M9-closure claim.</w:t>
      </w:r>
    </w:p>
    <w:p>
      <w:pPr>
        <w:pStyle w:val="Heading1"/>
      </w:pPr>
      <w:r>
        <w:t>10. Contract Amendment STOP Rule</w:t>
      </w:r>
    </w:p>
    <w:p>
      <w:r>
        <w:t>Expected Contract Amendment = NONE. 如果最小 provider-local alias/profile repair 无法诚实解决真实标签，或必须改变 shared airport/reference semantics，立即 STOP，不得在本 Unit 中扩展 shared contract。必须形成 Evidence → Impact → Options → Recommended Contract Amendment → Human Decision。</w:t>
      </w:r>
    </w:p>
    <w:p>
      <w:pPr>
        <w:pStyle w:val="Heading1"/>
      </w:pPr>
      <w:r>
        <w:t>11. Git and Completion Contract</w:t>
      </w:r>
    </w:p>
    <w:p>
      <w:pPr>
        <w:pStyle w:val="ListBullet"/>
      </w:pPr>
      <w:r>
        <w:t>执行前 `git fetch origin`，检查 branch/HEAD/origin-main/provider remote/dirty tree。</w:t>
      </w:r>
    </w:p>
    <w:p>
      <w:pPr>
        <w:pStyle w:val="ListBullet"/>
      </w:pPr>
      <w:r>
        <w:t>预期 branch：`m9-trackb-fliggy-browser`；不得 reset/rebase/force push。</w:t>
      </w:r>
    </w:p>
    <w:p>
      <w:pPr>
        <w:pStyle w:val="ListBullet"/>
      </w:pPr>
      <w:r>
        <w:t>仅允许本 Unit 规格授权的 source/test changes。</w:t>
      </w:r>
    </w:p>
    <w:p>
      <w:pPr>
        <w:pStyle w:val="ListBullet"/>
      </w:pPr>
      <w:r>
        <w:t>Focused tests → related regression/architecture gates → Ruff/Pyright → self-review diff。</w:t>
      </w:r>
    </w:p>
    <w:p>
      <w:pPr>
        <w:pStyle w:val="ListBullet"/>
      </w:pPr>
      <w:r>
        <w:t>PASS 后 commit + push provider branch，验证 remote tracking ref 与 working tree clean。</w:t>
      </w:r>
    </w:p>
    <w:p>
      <w:pPr>
        <w:pStyle w:val="ListBullet"/>
      </w:pPr>
      <w:r>
        <w:t>本 Repair commit 不等于 main integration authority。</w:t>
      </w:r>
    </w:p>
    <w:p>
      <w:pPr>
        <w:pStyle w:val="Heading1"/>
      </w:pPr>
      <w:r>
        <w:t>12. Required Repair Verdict</w:t>
      </w:r>
    </w:p>
    <w:p>
      <w:pPr>
        <w:pStyle w:val="ListBullet"/>
      </w:pPr>
      <w:r>
        <w:t>`PASS — PROVIDER-LOCAL AIRPORT ALIAS GAP REPAIRED / CA8341 REPLAY READY`</w:t>
      </w:r>
    </w:p>
    <w:p>
      <w:pPr>
        <w:pStyle w:val="ListBullet"/>
      </w:pPr>
      <w:r>
        <w:t>`BLOCKED — PROVIDER-LOCAL REPAIR INSUFFICIENT`</w:t>
      </w:r>
    </w:p>
    <w:p>
      <w:pPr>
        <w:pStyle w:val="ListBullet"/>
      </w:pPr>
      <w:r>
        <w:t>`CONTRACT AMENDMENT REQUIRED`</w:t>
      </w:r>
    </w:p>
    <w:p>
      <w:r>
        <w:t>Repair PASS 后必须 STOP。它只授权下一步单独执行 Post-Repair Human Acceptance Replay；不得自动把原 Human Acceptance U1 改判为 PASS。</w:t>
      </w:r>
    </w:p>
    <w:p>
      <w:pPr>
        <w:pStyle w:val="Heading1"/>
      </w:pPr>
      <w:r>
        <w:t>13. Post-Repair Replay and Closure Semantics</w:t>
      </w:r>
    </w:p>
    <w:p>
      <w:r>
        <w:t>Post-Repair Replay 应使用同一个已脱敏 CA8341 Human Evidence，不需要新的真实网页访问。若 Canonical 与 Merger 全链路通过，可将此前未证明的 HUM-FLI-11 补齐，并给出 Human Acceptance 的更新结论。</w:t>
      </w:r>
    </w:p>
    <w:p>
      <w:r>
        <w:t>原 FLIGGY Provider Integration Closure 不因 Repair Audit 自动消失；本 Unit 是对已满足 reopen condition 的受控 provider-local repair。修复完成后应记录 repaired state，并继续保留 `Full automated L2 live validation = NOT CLAIMED`。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