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M9-FLIGGY-HUMAN-ACCEPTANCE-REPAIR-AUDIT-U1</w:t>
      </w:r>
    </w:p>
    <w:p>
      <w:pPr>
        <w:jc w:val="center"/>
      </w:pPr>
      <w:r>
        <w:rPr>
          <w:sz w:val="20"/>
        </w:rPr>
        <w:t>Real-Provider Airport Normalization Gap &amp; Price-Semantics Follow-up Audit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227"/>
            <w:vAlign w:val="center"/>
          </w:tcPr>
          <w:p>
            <w:r>
              <w:t>Unit ID</w:t>
            </w:r>
          </w:p>
        </w:tc>
        <w:tc>
          <w:tcPr>
            <w:tcW w:type="dxa" w:w="5227"/>
            <w:vAlign w:val="center"/>
          </w:tcPr>
          <w:p>
            <w:r>
              <w:t>M9-FLIGGY-HUMAN-ACCEPTANCE-REPAIR-AUDIT-U1</w:t>
            </w:r>
          </w:p>
        </w:tc>
      </w:tr>
      <w:tr>
        <w:tc>
          <w:tcPr>
            <w:tcW w:type="dxa" w:w="5227"/>
            <w:vAlign w:val="center"/>
          </w:tcPr>
          <w:p>
            <w:r>
              <w:t>Type</w:t>
            </w:r>
          </w:p>
        </w:tc>
        <w:tc>
          <w:tcPr>
            <w:tcW w:type="dxa" w:w="5227"/>
            <w:vAlign w:val="center"/>
          </w:tcPr>
          <w:p>
            <w:r>
              <w:t>Read-only Repair Audit / Semantic Boundary Review</w:t>
            </w:r>
          </w:p>
        </w:tc>
      </w:tr>
      <w:tr>
        <w:tc>
          <w:tcPr>
            <w:tcW w:type="dxa" w:w="5227"/>
            <w:vAlign w:val="center"/>
          </w:tcPr>
          <w:p>
            <w:r>
              <w:t>Provider</w:t>
            </w:r>
          </w:p>
        </w:tc>
        <w:tc>
          <w:tcPr>
            <w:tcW w:type="dxa" w:w="5227"/>
            <w:vAlign w:val="center"/>
          </w:tcPr>
          <w:p>
            <w:r>
              <w:t>FLIGGY</w:t>
            </w:r>
          </w:p>
        </w:tc>
      </w:tr>
      <w:tr>
        <w:tc>
          <w:tcPr>
            <w:tcW w:type="dxa" w:w="5227"/>
            <w:vAlign w:val="center"/>
          </w:tcPr>
          <w:p>
            <w:r>
              <w:t>Trigger</w:t>
            </w:r>
          </w:p>
        </w:tc>
        <w:tc>
          <w:tcPr>
            <w:tcW w:type="dxa" w:w="5227"/>
            <w:vAlign w:val="center"/>
          </w:tcPr>
          <w:p>
            <w:r>
              <w:t>Human Acceptance case FLI-HUM-CASE-001 / HA-01 produced a canonical airport resolution failure</w:t>
            </w:r>
          </w:p>
        </w:tc>
      </w:tr>
      <w:tr>
        <w:tc>
          <w:tcPr>
            <w:tcW w:type="dxa" w:w="5227"/>
            <w:vAlign w:val="center"/>
          </w:tcPr>
          <w:p>
            <w:r>
              <w:t>Primary question</w:t>
            </w:r>
          </w:p>
        </w:tc>
        <w:tc>
          <w:tcPr>
            <w:tcW w:type="dxa" w:w="5227"/>
            <w:vAlign w:val="center"/>
          </w:tcPr>
          <w:p>
            <w:r>
              <w:t>Is a provider-local airport normalization/alias repair sufficient, and does the observed L1 price wording fit the current shared price contract?</w:t>
            </w:r>
          </w:p>
        </w:tc>
      </w:tr>
      <w:tr>
        <w:tc>
          <w:tcPr>
            <w:tcW w:type="dxa" w:w="5227"/>
            <w:vAlign w:val="center"/>
          </w:tcPr>
          <w:p>
            <w:r>
              <w:t>Implementation authority</w:t>
            </w:r>
          </w:p>
        </w:tc>
        <w:tc>
          <w:tcPr>
            <w:tcW w:type="dxa" w:w="5227"/>
            <w:vAlign w:val="center"/>
          </w:tcPr>
          <w:p>
            <w:r>
              <w:t>NONE</w:t>
            </w:r>
          </w:p>
        </w:tc>
      </w:tr>
      <w:tr>
        <w:tc>
          <w:tcPr>
            <w:tcW w:type="dxa" w:w="5227"/>
            <w:vAlign w:val="center"/>
          </w:tcPr>
          <w:p>
            <w:r>
              <w:t>Source/test change authority</w:t>
            </w:r>
          </w:p>
        </w:tc>
        <w:tc>
          <w:tcPr>
            <w:tcW w:type="dxa" w:w="5227"/>
            <w:vAlign w:val="center"/>
          </w:tcPr>
          <w:p>
            <w:r>
              <w:t>NONE</w:t>
            </w:r>
          </w:p>
        </w:tc>
      </w:tr>
      <w:tr>
        <w:tc>
          <w:tcPr>
            <w:tcW w:type="dxa" w:w="5227"/>
            <w:vAlign w:val="center"/>
          </w:tcPr>
          <w:p>
            <w:r>
              <w:t>Live automation authority</w:t>
            </w:r>
          </w:p>
        </w:tc>
        <w:tc>
          <w:tcPr>
            <w:tcW w:type="dxa" w:w="5227"/>
            <w:vAlign w:val="center"/>
          </w:tcPr>
          <w:p>
            <w:r>
              <w:t>NONE</w:t>
            </w:r>
          </w:p>
        </w:tc>
      </w:tr>
      <w:tr>
        <w:tc>
          <w:tcPr>
            <w:tcW w:type="dxa" w:w="5227"/>
            <w:vAlign w:val="center"/>
          </w:tcPr>
          <w:p>
            <w:r>
              <w:t>Expected Contract Amendment</w:t>
            </w:r>
          </w:p>
        </w:tc>
        <w:tc>
          <w:tcPr>
            <w:tcW w:type="dxa" w:w="5227"/>
            <w:vAlign w:val="center"/>
          </w:tcPr>
          <w:p>
            <w:r>
              <w:t>NONE unless evidence proves the shared contract cannot honestly represent required truth</w:t>
            </w:r>
          </w:p>
        </w:tc>
      </w:tr>
    </w:tbl>
    <w:p>
      <w:pPr>
        <w:pStyle w:val="Heading1"/>
      </w:pPr>
      <w:r>
        <w:t>2. Trigger Evidence and Current Governance State</w:t>
      </w:r>
    </w:p>
    <w:p>
      <w:r>
        <w:rPr>
          <w:b w:val="0"/>
        </w:rPr>
        <w:t>The Human Acceptance execution returned `BLOCKED — PROVIDER-LOCAL SEMANTIC REGRESSION FOUND` on the real-provider CA8341 case. The mapper preserved the observed facts, but canonicalization failed to resolve full airport labels `大兴国际机场` and `浦东国际机场T2`, which caused normalized segment/itinerary/offer loss before Candidate Merger could be demonstrated end-to-end.</w:t>
      </w:r>
    </w:p>
    <w:p>
      <w:pPr>
        <w:pStyle w:val="ListBullet"/>
      </w:pPr>
      <w:r>
        <w:t>FLIGGY Provider Closure authority remains in force until a separately human-authorized repair unit explicitly reopens the bounded defect scope.</w:t>
      </w:r>
    </w:p>
    <w:p>
      <w:pPr>
        <w:pStyle w:val="ListBullet"/>
      </w:pPr>
      <w:r>
        <w:t>This Audit does not itself reopen implementation and must not edit provider code, shared code, fixtures, tests, reference data, or governance contracts beyond accepting/reporting this audit.</w:t>
      </w:r>
    </w:p>
    <w:p>
      <w:pPr>
        <w:pStyle w:val="ListBullet"/>
      </w:pPr>
      <w:r>
        <w:t>The previously preserved Level-2 live automation gap remains unchanged and is not part of this repair audit.</w:t>
      </w:r>
    </w:p>
    <w:p>
      <w:pPr>
        <w:pStyle w:val="ListBullet"/>
      </w:pPr>
      <w:r>
        <w:t>Human Acceptance evidence is LOCAL-ONLY supporting evidence unless a separately approved sanitized artifact is created.</w:t>
      </w:r>
    </w:p>
    <w:p>
      <w:pPr>
        <w:pStyle w:val="Heading1"/>
      </w:pPr>
      <w:r>
        <w:t>3. Audit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5227"/>
            <w:vAlign w:val="center"/>
          </w:tcPr>
          <w:p>
            <w:r>
              <w:t>AUD-G1</w:t>
            </w:r>
          </w:p>
        </w:tc>
        <w:tc>
          <w:tcPr>
            <w:tcW w:type="dxa" w:w="5227"/>
            <w:vAlign w:val="center"/>
          </w:tcPr>
          <w:p>
            <w:r>
              <w:t>Locate the exact root cause of failure for `大兴国际机场` / `浦东国际机场T2`: provider-local alias preparation, shared reference data, terminal stripping/normalization, or another existing boundary.</w:t>
            </w:r>
          </w:p>
        </w:tc>
      </w:tr>
      <w:tr>
        <w:tc>
          <w:tcPr>
            <w:tcW w:type="dxa" w:w="5227"/>
            <w:vAlign w:val="center"/>
          </w:tcPr>
          <w:p>
            <w:r>
              <w:t>AUD-G2</w:t>
            </w:r>
          </w:p>
        </w:tc>
        <w:tc>
          <w:tcPr>
            <w:tcW w:type="dxa" w:w="5227"/>
            <w:vAlign w:val="center"/>
          </w:tcPr>
          <w:p>
            <w:r>
              <w:t>Determine the smallest honest repair boundary: FLIGGY provider-local alias/profile vs shared CommonNormalizer/reference data.</w:t>
            </w:r>
          </w:p>
        </w:tc>
      </w:tr>
      <w:tr>
        <w:tc>
          <w:tcPr>
            <w:tcW w:type="dxa" w:w="5227"/>
            <w:vAlign w:val="center"/>
          </w:tcPr>
          <w:p>
            <w:r>
              <w:t>AUD-G3</w:t>
            </w:r>
          </w:p>
        </w:tc>
        <w:tc>
          <w:tcPr>
            <w:tcW w:type="dxa" w:w="5227"/>
            <w:vAlign w:val="center"/>
          </w:tcPr>
          <w:p>
            <w:r>
              <w:t>Review whether `最低价格（不含税费） ¥399` can be represented without distorting current `PriceSemantics.EXACT / LOWER_BOUND` and current amount meaning.</w:t>
            </w:r>
          </w:p>
        </w:tc>
      </w:tr>
      <w:tr>
        <w:tc>
          <w:tcPr>
            <w:tcW w:type="dxa" w:w="5227"/>
            <w:vAlign w:val="center"/>
          </w:tcPr>
          <w:p>
            <w:r>
              <w:t>AUD-G4</w:t>
            </w:r>
          </w:p>
        </w:tc>
        <w:tc>
          <w:tcPr>
            <w:tcW w:type="dxa" w:w="5227"/>
            <w:vAlign w:val="center"/>
          </w:tcPr>
          <w:p>
            <w:r>
              <w:t>Determine whether, after airport resolution is repaired, the existing Canonical + Conservative Merger path is sufficient for L1 ¥399 summary and L2 exact rows ¥400/¥399/¥647 without new merger logic.</w:t>
            </w:r>
          </w:p>
        </w:tc>
      </w:tr>
      <w:tr>
        <w:tc>
          <w:tcPr>
            <w:tcW w:type="dxa" w:w="5227"/>
            <w:vAlign w:val="center"/>
          </w:tcPr>
          <w:p>
            <w:r>
              <w:t>AUD-G5</w:t>
            </w:r>
          </w:p>
        </w:tc>
        <w:tc>
          <w:tcPr>
            <w:tcW w:type="dxa" w:w="5227"/>
            <w:vAlign w:val="center"/>
          </w:tcPr>
          <w:p>
            <w:r>
              <w:t>Classify whether the Human Acceptance finding is a bounded provider-local P1 candidate, a non-blocking evidence/commercial gap, or a genuine shared-contract deficiency.</w:t>
            </w:r>
          </w:p>
        </w:tc>
      </w:tr>
    </w:tbl>
    <w:p>
      <w:pPr>
        <w:pStyle w:val="Heading1"/>
      </w:pPr>
      <w:r>
        <w:t>4. Authoritative Boundaries</w:t>
      </w:r>
    </w:p>
    <w:p>
      <w:pPr>
        <w:pStyle w:val="ListBullet"/>
      </w:pPr>
      <w:r>
        <w:t>Preserve `Evidence → Mapped → Canonical → Candidate Merger` responsibilities.</w:t>
      </w:r>
    </w:p>
    <w:p>
      <w:pPr>
        <w:pStyle w:val="ListBullet"/>
      </w:pPr>
      <w:r>
        <w:t>Do not change M2/M4/M6/M7/M8 shared semantics in this audit.</w:t>
      </w:r>
    </w:p>
    <w:p>
      <w:pPr>
        <w:pStyle w:val="ListBullet"/>
      </w:pPr>
      <w:r>
        <w:t>Do not create a new FLIGGY Level-2 Canonical path or provider-local Candidate Merger.</w:t>
      </w:r>
    </w:p>
    <w:p>
      <w:pPr>
        <w:pStyle w:val="ListBullet"/>
      </w:pPr>
      <w:r>
        <w:t>Do not treat seller, cabin/product, refund/change, baggage kg text, or availability wording as shared canonical truth unless existing authority explicitly supports it.</w:t>
      </w:r>
    </w:p>
    <w:p>
      <w:pPr>
        <w:pStyle w:val="ListBullet"/>
      </w:pPr>
      <w:r>
        <w:t>Do not convert a full airport label failure into a reason to broaden shared contracts without first proving existing provider-local/reference normalization cannot safely handle it.</w:t>
      </w:r>
    </w:p>
    <w:p>
      <w:pPr>
        <w:pStyle w:val="ListBullet"/>
      </w:pPr>
      <w:r>
        <w:t>Do not claim production readiness, full live validation, complete seller coverage, complete inventory, or market completeness.</w:t>
      </w:r>
    </w:p>
    <w:p>
      <w:pPr>
        <w:pStyle w:val="Heading1"/>
      </w:pPr>
      <w:r>
        <w:t>5. Required Root-Cause Inspection</w:t>
      </w:r>
    </w:p>
    <w:p>
      <w:r>
        <w:rPr>
          <w:b w:val="0"/>
        </w:rPr>
        <w:t>Codex must inspect the current implementation and authority rather than assume a fix. At minimum review:</w:t>
      </w:r>
    </w:p>
    <w:p>
      <w:pPr>
        <w:pStyle w:val="ListBullet"/>
      </w:pPr>
      <w:r>
        <w:t>FLIGGY `canonical_entry.py` airport alias/profile preparation and any provider-local airport normalization helpers.</w:t>
      </w:r>
    </w:p>
    <w:p>
      <w:pPr>
        <w:pStyle w:val="ListBullet"/>
      </w:pPr>
      <w:r>
        <w:t>M4 CommonNormalizer airport/reference resolution behavior, including alias lookup and `UNRESOLVABLE_REFERENCE` handling.</w:t>
      </w:r>
    </w:p>
    <w:p>
      <w:pPr>
        <w:pStyle w:val="ListBullet"/>
      </w:pPr>
      <w:r>
        <w:t>Current airport/reference-data definitions and whether aliases already exist for PKX/PVG Chinese names or terminal-bearing labels.</w:t>
      </w:r>
    </w:p>
    <w:p>
      <w:pPr>
        <w:pStyle w:val="ListBullet"/>
      </w:pPr>
      <w:r>
        <w:t>Existing FLIGGY and shared tests that use airport names/codes and whether prior fixtures were pre-normalized or materially different from the real-provider wording.</w:t>
      </w:r>
    </w:p>
    <w:p>
      <w:pPr>
        <w:pStyle w:val="ListBullet"/>
      </w:pPr>
      <w:r>
        <w:t>The exact drop cascade observed in the Human Acceptance replay: segment → itinerary → offer/orphan handling.</w:t>
      </w:r>
    </w:p>
    <w:p>
      <w:pPr>
        <w:pStyle w:val="Heading1"/>
      </w:pPr>
      <w:r>
        <w:t>6. Airport Normalization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Required classification / disposition</w:t>
            </w:r>
          </w:p>
        </w:tc>
      </w:tr>
      <w:tr>
        <w:tc>
          <w:tcPr>
            <w:tcW w:type="dxa" w:w="5227"/>
            <w:vAlign w:val="center"/>
          </w:tcPr>
          <w:p>
            <w:r>
              <w:t>Existing FLIGGY alias/profile is explicitly intended for provider wording and is simply missing accepted real labels</w:t>
            </w:r>
          </w:p>
        </w:tc>
        <w:tc>
          <w:tcPr>
            <w:tcW w:type="dxa" w:w="5227"/>
            <w:vAlign w:val="center"/>
          </w:tcPr>
          <w:p>
            <w:r>
              <w:t>`PROVIDER_LOCAL_ALIAS_GAP`; recommend a minimal provider-local repair unit; Contract Amendment NONE.</w:t>
            </w:r>
          </w:p>
        </w:tc>
      </w:tr>
      <w:tr>
        <w:tc>
          <w:tcPr>
            <w:tcW w:type="dxa" w:w="5227"/>
            <w:vAlign w:val="center"/>
          </w:tcPr>
          <w:p>
            <w:r>
              <w:t>Terminal-bearing wording such as `浦东国际机场T2` can be safely normalized by an existing provider-local normalization convention</w:t>
            </w:r>
          </w:p>
        </w:tc>
        <w:tc>
          <w:tcPr>
            <w:tcW w:type="dxa" w:w="5227"/>
            <w:vAlign w:val="center"/>
          </w:tcPr>
          <w:p>
            <w:r>
              <w:t>`PROVIDER_LOCAL_NORMALIZATION_GAP`; minimal repair + focused regression.</w:t>
            </w:r>
          </w:p>
        </w:tc>
      </w:tr>
      <w:tr>
        <w:tc>
          <w:tcPr>
            <w:tcW w:type="dxa" w:w="5227"/>
            <w:vAlign w:val="center"/>
          </w:tcPr>
          <w:p>
            <w:r>
              <w:t>Shared reference data already contains the canonical airport and provider-local entry is expected to bridge provider labels</w:t>
            </w:r>
          </w:p>
        </w:tc>
        <w:tc>
          <w:tcPr>
            <w:tcW w:type="dxa" w:w="5227"/>
            <w:vAlign w:val="center"/>
          </w:tcPr>
          <w:p>
            <w:r>
              <w:t>Do not modify CommonNormalizer; repair provider-local boundary.</w:t>
            </w:r>
          </w:p>
        </w:tc>
      </w:tr>
      <w:tr>
        <w:tc>
          <w:tcPr>
            <w:tcW w:type="dxa" w:w="5227"/>
            <w:vAlign w:val="center"/>
          </w:tcPr>
          <w:p>
            <w:r>
              <w:t>Multiple providers require the same new alias rule and current shared reference mechanism is the intended common owner</w:t>
            </w:r>
          </w:p>
        </w:tc>
        <w:tc>
          <w:tcPr>
            <w:tcW w:type="dxa" w:w="5227"/>
            <w:vAlign w:val="center"/>
          </w:tcPr>
          <w:p>
            <w:r>
              <w:t>Record `SHARED_REFERENCE_DATA_REVIEW_CANDIDATE`; do not modify shared data in this audit.</w:t>
            </w:r>
          </w:p>
        </w:tc>
      </w:tr>
      <w:tr>
        <w:tc>
          <w:tcPr>
            <w:tcW w:type="dxa" w:w="5227"/>
            <w:vAlign w:val="center"/>
          </w:tcPr>
          <w:p>
            <w:r>
              <w:t>No existing contract can honestly distinguish airport identity from terminal/location text without losing required truth</w:t>
            </w:r>
          </w:p>
        </w:tc>
        <w:tc>
          <w:tcPr>
            <w:tcW w:type="dxa" w:w="5227"/>
            <w:vAlign w:val="center"/>
          </w:tcPr>
          <w:p>
            <w:r>
              <w:t>Trigger Contract Amendment review only with evidence and impact analysis.</w:t>
            </w:r>
          </w:p>
        </w:tc>
      </w:tr>
    </w:tbl>
    <w:p>
      <w:pPr>
        <w:pStyle w:val="Heading1"/>
      </w:pPr>
      <w:r>
        <w:t>7. Price-Semantics Follow-up</w:t>
      </w:r>
    </w:p>
    <w:p>
      <w:r>
        <w:rPr>
          <w:b w:val="0"/>
        </w:rPr>
        <w:t>The observed L1 wording is `最低价格（不含税费） ¥399`. The audit must separate two axes rather than conflate them: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Axis</w:t>
            </w:r>
          </w:p>
        </w:tc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5227"/>
            <w:vAlign w:val="center"/>
          </w:tcPr>
          <w:p>
            <w:r>
              <w:t>Amount certainty</w:t>
            </w:r>
          </w:p>
        </w:tc>
        <w:tc>
          <w:tcPr>
            <w:tcW w:type="dxa" w:w="5227"/>
            <w:vAlign w:val="center"/>
          </w:tcPr>
          <w:p>
            <w:r>
              <w:t>Is the displayed L1 amount a concrete offer price or a lowest-price summary/lower-bound observation?</w:t>
            </w:r>
          </w:p>
        </w:tc>
      </w:tr>
      <w:tr>
        <w:tc>
          <w:tcPr>
            <w:tcW w:type="dxa" w:w="5227"/>
            <w:vAlign w:val="center"/>
          </w:tcPr>
          <w:p>
            <w:r>
              <w:t>Price composition</w:t>
            </w:r>
          </w:p>
        </w:tc>
        <w:tc>
          <w:tcPr>
            <w:tcW w:type="dxa" w:w="5227"/>
            <w:vAlign w:val="center"/>
          </w:tcPr>
          <w:p>
            <w:r>
              <w:t>Does the amount include taxes/fees, exclude them, or leave composition unknown?</w:t>
            </w:r>
          </w:p>
        </w:tc>
      </w:tr>
    </w:tbl>
    <w:p>
      <w:r>
        <w:rPr>
          <w:b w:val="0"/>
        </w:rPr>
        <w:t>The audit must determine what current Mapped/Canonical `total_amount` means under authority. If `LOWER_BOUND` honestly preserves the L1 summary while `不含税费` remains Evidence-only and no downstream component misrepresents it as final payable total, no Contract Amendment is required. If the shared amount field semantically means payable total and the observed tax-excluded amount cannot be represented without falsifying truth, classify `PRICE_COMPOSITION_CONTRACT_REVIEW_REQUIRED` and STOP for human decision.</w:t>
      </w:r>
    </w:p>
    <w:p>
      <w:pPr>
        <w:pStyle w:val="Heading1"/>
      </w:pPr>
      <w:r>
        <w:t>8. Merger Compatibility Follow-up</w:t>
      </w:r>
    </w:p>
    <w:p>
      <w:pPr>
        <w:pStyle w:val="ListBullet"/>
      </w:pPr>
      <w:r>
        <w:t>Assume no new merger implementation. Inspect current M4 equivalence/merge logic only.</w:t>
      </w:r>
    </w:p>
    <w:p>
      <w:pPr>
        <w:pStyle w:val="ListBullet"/>
      </w:pPr>
      <w:r>
        <w:t>Expected safety property: L1 ¥399 summary and L2 ¥399 exact seller row must not become equivalent solely because numeric amount matches.</w:t>
      </w:r>
    </w:p>
    <w:p>
      <w:pPr>
        <w:pStyle w:val="ListBullet"/>
      </w:pPr>
      <w:r>
        <w:t>L2 ¥400 vs ¥399 vs ¥647 must remain distinct where existing facts prove distinction.</w:t>
      </w:r>
    </w:p>
    <w:p>
      <w:pPr>
        <w:pStyle w:val="ListBullet"/>
      </w:pPr>
      <w:r>
        <w:t>Same price with unresolved seller/product differences must remain conservative (`INSUFFICIENT_EVIDENCE`) rather than false-positive merge.</w:t>
      </w:r>
    </w:p>
    <w:p>
      <w:pPr>
        <w:pStyle w:val="ListBullet"/>
      </w:pPr>
      <w:r>
        <w:t>If airport normalization is the only reason the Human Case failed before merger, record merger compatibility as `EXPECTED SUFFICIENT — REPLAY REQUIRED AFTER REPAIR`, not as a demonstrated PASS.</w:t>
      </w:r>
    </w:p>
    <w:p>
      <w:pPr>
        <w:pStyle w:val="Heading1"/>
      </w:pPr>
      <w:r>
        <w:t>9. Audit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FLI-RA-01</w:t>
            </w:r>
          </w:p>
        </w:tc>
        <w:tc>
          <w:tcPr>
            <w:tcW w:type="dxa" w:w="5227"/>
            <w:vAlign w:val="center"/>
          </w:tcPr>
          <w:p>
            <w:r>
              <w:t>Human Acceptance trigger evidence loaded and not inflated.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FLI-RA-02</w:t>
            </w:r>
          </w:p>
        </w:tc>
        <w:tc>
          <w:tcPr>
            <w:tcW w:type="dxa" w:w="5227"/>
            <w:vAlign w:val="center"/>
          </w:tcPr>
          <w:p>
            <w:r>
              <w:t>FLIGGY Closure recognized; audit itself does not reopen implementation.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FLI-RA-03</w:t>
            </w:r>
          </w:p>
        </w:tc>
        <w:tc>
          <w:tcPr>
            <w:tcW w:type="dxa" w:w="5227"/>
            <w:vAlign w:val="center"/>
          </w:tcPr>
          <w:p>
            <w:r>
              <w:t>Exact airport canonical failure root cause identified with code evidence.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FLI-RA-04</w:t>
            </w:r>
          </w:p>
        </w:tc>
        <w:tc>
          <w:tcPr>
            <w:tcW w:type="dxa" w:w="5227"/>
            <w:vAlign w:val="center"/>
          </w:tcPr>
          <w:p>
            <w:r>
              <w:t>Provider-local vs shared ownership decision justified.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FLI-RA-05</w:t>
            </w:r>
          </w:p>
        </w:tc>
        <w:tc>
          <w:tcPr>
            <w:tcW w:type="dxa" w:w="5227"/>
            <w:vAlign w:val="center"/>
          </w:tcPr>
          <w:p>
            <w:r>
              <w:t>No repair code/tests/reference-data modifications made.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FLI-RA-06</w:t>
            </w:r>
          </w:p>
        </w:tc>
        <w:tc>
          <w:tcPr>
            <w:tcW w:type="dxa" w:w="5227"/>
            <w:vAlign w:val="center"/>
          </w:tcPr>
          <w:p>
            <w:r>
              <w:t>`最低价格（不含税费）` reviewed as amount-certainty + price-composition axes.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FLI-RA-07</w:t>
            </w:r>
          </w:p>
        </w:tc>
        <w:tc>
          <w:tcPr>
            <w:tcW w:type="dxa" w:w="5227"/>
            <w:vAlign w:val="center"/>
          </w:tcPr>
          <w:p>
            <w:r>
              <w:t>No automatic upgrade of L1 summary to EXACT.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FLI-RA-08</w:t>
            </w:r>
          </w:p>
        </w:tc>
        <w:tc>
          <w:tcPr>
            <w:tcW w:type="dxa" w:w="5227"/>
            <w:vAlign w:val="center"/>
          </w:tcPr>
          <w:p>
            <w:r>
              <w:t>No false claim that current merger was end-to-end demonstrated for the blocked case.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FLI-RA-09</w:t>
            </w:r>
          </w:p>
        </w:tc>
        <w:tc>
          <w:tcPr>
            <w:tcW w:type="dxa" w:w="5227"/>
            <w:vAlign w:val="center"/>
          </w:tcPr>
          <w:p>
            <w:r>
              <w:t>Existing merger sufficiency assessed without new merger design.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FLI-RA-10</w:t>
            </w:r>
          </w:p>
        </w:tc>
        <w:tc>
          <w:tcPr>
            <w:tcW w:type="dxa" w:w="5227"/>
            <w:vAlign w:val="center"/>
          </w:tcPr>
          <w:p>
            <w:r>
              <w:t>Live gap preserved; no new live probe.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FLI-RA-11</w:t>
            </w:r>
          </w:p>
        </w:tc>
        <w:tc>
          <w:tcPr>
            <w:tcW w:type="dxa" w:w="5227"/>
            <w:vAlign w:val="center"/>
          </w:tcPr>
          <w:p>
            <w:r>
              <w:t>Contract Amendment STOP rule preserved.</w:t>
            </w:r>
          </w:p>
        </w:tc>
      </w:tr>
      <w:tr>
        <w:tc>
          <w:tcPr>
            <w:tcW w:type="dxa" w:w="5227"/>
            <w:vAlign w:val="center"/>
          </w:tcPr>
          <w:p>
            <w:r>
              <w:t>FLI-RA-12</w:t>
            </w:r>
          </w:p>
        </w:tc>
        <w:tc>
          <w:tcPr>
            <w:tcW w:type="dxa" w:w="5227"/>
            <w:vAlign w:val="center"/>
          </w:tcPr>
          <w:p>
            <w:r>
              <w:t>Audit exits with a bounded repair/no-repair recommendation and no automatic next-unit authorization.</w:t>
            </w:r>
          </w:p>
        </w:tc>
      </w:tr>
    </w:tbl>
    <w:p>
      <w:pPr>
        <w:pStyle w:val="Heading1"/>
      </w:pPr>
      <w:r>
        <w:t>10. Allowed Audit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5227"/>
            <w:shd w:fill="E7E6E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227"/>
            <w:vAlign w:val="center"/>
          </w:tcPr>
          <w:p>
            <w:r>
              <w:t>PASS — PROVIDER-LOCAL AIRPORT ALIAS REPAIR SUFFICIENT</w:t>
            </w:r>
          </w:p>
        </w:tc>
        <w:tc>
          <w:tcPr>
            <w:tcW w:type="dxa" w:w="5227"/>
            <w:vAlign w:val="center"/>
          </w:tcPr>
          <w:p>
            <w:r>
              <w:t>Root cause is bounded to FLIGGY provider-local alias/normalization; shared contracts remain sufficient; recommend a separate minimal repair unit.</w:t>
            </w:r>
          </w:p>
        </w:tc>
      </w:tr>
      <w:tr>
        <w:tc>
          <w:tcPr>
            <w:tcW w:type="dxa" w:w="5227"/>
            <w:vAlign w:val="center"/>
          </w:tcPr>
          <w:p>
            <w:r>
              <w:t>PASS — PROVIDER-LOCAL NORMALIZATION REPAIR SUFFICIENT</w:t>
            </w:r>
          </w:p>
        </w:tc>
        <w:tc>
          <w:tcPr>
            <w:tcW w:type="dxa" w:w="5227"/>
            <w:vAlign w:val="center"/>
          </w:tcPr>
          <w:p>
            <w:r>
              <w:t>A small provider-local normalization step (e.g. accepted terminal-bearing wording handling) is sufficient; no shared change.</w:t>
            </w:r>
          </w:p>
        </w:tc>
      </w:tr>
      <w:tr>
        <w:tc>
          <w:tcPr>
            <w:tcW w:type="dxa" w:w="5227"/>
            <w:vAlign w:val="center"/>
          </w:tcPr>
          <w:p>
            <w:r>
              <w:t>PASS WITH PRICE-COMPOSITION CONTRACT REVIEW REQUIRED</w:t>
            </w:r>
          </w:p>
        </w:tc>
        <w:tc>
          <w:tcPr>
            <w:tcW w:type="dxa" w:w="5227"/>
            <w:vAlign w:val="center"/>
          </w:tcPr>
          <w:p>
            <w:r>
              <w:t>Airport repair is bounded, but current shared amount semantics may not honestly represent tax-excluded price; STOP for human contract review.</w:t>
            </w:r>
          </w:p>
        </w:tc>
      </w:tr>
      <w:tr>
        <w:tc>
          <w:tcPr>
            <w:tcW w:type="dxa" w:w="5227"/>
            <w:vAlign w:val="center"/>
          </w:tcPr>
          <w:p>
            <w:r>
              <w:t>SHARED REFERENCE DATA REVIEW REQUIRED</w:t>
            </w:r>
          </w:p>
        </w:tc>
        <w:tc>
          <w:tcPr>
            <w:tcW w:type="dxa" w:w="5227"/>
            <w:vAlign w:val="center"/>
          </w:tcPr>
          <w:p>
            <w:r>
              <w:t>Evidence suggests ownership may belong to shared reference data; no modification authorized here.</w:t>
            </w:r>
          </w:p>
        </w:tc>
      </w:tr>
      <w:tr>
        <w:tc>
          <w:tcPr>
            <w:tcW w:type="dxa" w:w="5227"/>
            <w:vAlign w:val="center"/>
          </w:tcPr>
          <w:p>
            <w:r>
              <w:t>SHARED CONTRACT AMENDMENT REQUIRED</w:t>
            </w:r>
          </w:p>
        </w:tc>
        <w:tc>
          <w:tcPr>
            <w:tcW w:type="dxa" w:w="5227"/>
            <w:vAlign w:val="center"/>
          </w:tcPr>
          <w:p>
            <w:r>
              <w:t>Only if current shared truth cannot honestly represent required provider reality; follow formal amendment process.</w:t>
            </w:r>
          </w:p>
        </w:tc>
      </w:tr>
      <w:tr>
        <w:tc>
          <w:tcPr>
            <w:tcW w:type="dxa" w:w="5227"/>
            <w:vAlign w:val="center"/>
          </w:tcPr>
          <w:p>
            <w:r>
              <w:t>INCONCLUSIVE — ADDITIONAL READ-ONLY EVIDENCE REQUIRED</w:t>
            </w:r>
          </w:p>
        </w:tc>
        <w:tc>
          <w:tcPr>
            <w:tcW w:type="dxa" w:w="5227"/>
            <w:vAlign w:val="center"/>
          </w:tcPr>
          <w:p>
            <w:r>
              <w:t>Root cause/ownership cannot be proven from current authority and code without further non-live inspection.</w:t>
            </w:r>
          </w:p>
        </w:tc>
      </w:tr>
    </w:tbl>
    <w:p>
      <w:pPr>
        <w:pStyle w:val="Heading1"/>
      </w:pPr>
      <w:r>
        <w:t>11. Recommended Repair Scope if Provider-local Verdict Passes</w:t>
      </w:r>
    </w:p>
    <w:p>
      <w:r>
        <w:rPr>
          <w:b w:val="0"/>
        </w:rPr>
        <w:t>This section is advisory only and does not authorize implementation. A later human-authorized Repair Unit should be minimal: provider-local airport label normalization/aliases + focused regression tests + replay of the existing CA8341 sanitized case through Mapper → Canonical → Merger. It must not add CLI/harness, alter shared Candidate Merger semantics, or rerun broad live automation.</w:t>
      </w:r>
    </w:p>
    <w:p>
      <w:pPr>
        <w:pStyle w:val="Heading1"/>
      </w:pPr>
      <w:r>
        <w:t>12. Required Final Report</w:t>
      </w:r>
    </w:p>
    <w:p>
      <w:r>
        <w:rPr>
          <w:b w:val="0"/>
        </w:rPr>
        <w:t>The Audit Execution must report: authority intake; live Git baseline; exact root cause with file/line or symbol evidence; current alias/reference behavior; ownership decision; price-semantics conclusion; merger compatibility conclusion; gate matrix; Contract Amendment status; recommended next Unit (if any); and explicit confirmation that no source/test changes, live probes, commit, or push were performed.</w:t>
      </w:r>
    </w:p>
    <w:p>
      <w:pPr>
        <w:pStyle w:val="Heading1"/>
      </w:pPr>
      <w:r>
        <w:t>13. Exit Boundary</w:t>
      </w:r>
    </w:p>
    <w:p>
      <w:r>
        <w:rPr>
          <w:b w:val="0"/>
        </w:rPr>
        <w:t>After the audit report: STOP. No repair implementation is automatically authorized. If a bounded provider-local repair is recommended, human approval is required before generating/executing a Repair Unit. If shared contract/reference review is required, follow the corresponding governance path before any code change.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